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EE2" w:rsidRDefault="00EB1EE2" w:rsidP="00E04893">
      <w:pPr>
        <w:spacing w:after="0" w:line="240" w:lineRule="auto"/>
        <w:jc w:val="center"/>
        <w:rPr>
          <w:rFonts w:ascii="Verdana" w:eastAsia="Times New Roman" w:hAnsi="Verdana" w:cs="Calibri"/>
          <w:b/>
          <w:bCs/>
          <w:iCs/>
          <w:sz w:val="20"/>
          <w:szCs w:val="20"/>
          <w:lang w:eastAsia="it-IT"/>
        </w:rPr>
      </w:pPr>
      <w:bookmarkStart w:id="0" w:name="_GoBack"/>
      <w:r>
        <w:rPr>
          <w:rFonts w:ascii="Verdana" w:eastAsia="Times New Roman" w:hAnsi="Verdana" w:cs="Calibri"/>
          <w:b/>
          <w:bCs/>
          <w:iCs/>
          <w:noProof/>
          <w:sz w:val="20"/>
          <w:szCs w:val="20"/>
          <w:lang w:eastAsia="it-IT"/>
        </w:rPr>
        <w:drawing>
          <wp:inline distT="0" distB="0" distL="0" distR="0">
            <wp:extent cx="2857500" cy="666750"/>
            <wp:effectExtent l="19050" t="0" r="0" b="0"/>
            <wp:docPr id="1" name="Immagine 0" descr="logo-print-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rint-pdf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CFB" w:rsidRDefault="00807CFB" w:rsidP="00E04893">
      <w:pPr>
        <w:spacing w:after="0" w:line="240" w:lineRule="auto"/>
        <w:jc w:val="center"/>
        <w:rPr>
          <w:rFonts w:ascii="Verdana" w:eastAsia="Times New Roman" w:hAnsi="Verdana" w:cs="Calibri"/>
          <w:b/>
          <w:bCs/>
          <w:iCs/>
          <w:sz w:val="20"/>
          <w:szCs w:val="20"/>
          <w:lang w:eastAsia="it-IT"/>
        </w:rPr>
      </w:pPr>
    </w:p>
    <w:p w:rsidR="00F86CF5" w:rsidRDefault="00F86CF5" w:rsidP="00E04893">
      <w:pPr>
        <w:spacing w:after="0" w:line="240" w:lineRule="auto"/>
        <w:jc w:val="center"/>
        <w:rPr>
          <w:rFonts w:ascii="Verdana" w:eastAsia="Times New Roman" w:hAnsi="Verdana" w:cs="Calibri"/>
          <w:b/>
          <w:bCs/>
          <w:iCs/>
          <w:sz w:val="20"/>
          <w:szCs w:val="20"/>
          <w:lang w:eastAsia="it-IT"/>
        </w:rPr>
      </w:pPr>
    </w:p>
    <w:p w:rsidR="00807CFB" w:rsidRDefault="00807CFB" w:rsidP="00E04893">
      <w:pPr>
        <w:spacing w:after="0" w:line="240" w:lineRule="auto"/>
        <w:jc w:val="center"/>
        <w:rPr>
          <w:rFonts w:ascii="Verdana" w:eastAsia="Times New Roman" w:hAnsi="Verdana" w:cs="Calibri"/>
          <w:b/>
          <w:bCs/>
          <w:iCs/>
          <w:sz w:val="20"/>
          <w:szCs w:val="20"/>
          <w:lang w:eastAsia="it-IT"/>
        </w:rPr>
      </w:pPr>
    </w:p>
    <w:p w:rsidR="00807CFB" w:rsidRDefault="00807CFB" w:rsidP="00E04893">
      <w:pPr>
        <w:spacing w:after="0" w:line="240" w:lineRule="auto"/>
        <w:jc w:val="center"/>
        <w:rPr>
          <w:rFonts w:ascii="Verdana" w:eastAsia="Times New Roman" w:hAnsi="Verdana" w:cs="Calibri"/>
          <w:b/>
          <w:bCs/>
          <w:iCs/>
          <w:sz w:val="20"/>
          <w:szCs w:val="20"/>
          <w:lang w:eastAsia="it-IT"/>
        </w:rPr>
      </w:pPr>
    </w:p>
    <w:p w:rsidR="006B2A00" w:rsidRDefault="00EB1EE2" w:rsidP="00E04893">
      <w:pPr>
        <w:spacing w:after="0" w:line="240" w:lineRule="auto"/>
        <w:jc w:val="center"/>
        <w:rPr>
          <w:rFonts w:ascii="Verdana" w:eastAsia="Times New Roman" w:hAnsi="Verdana" w:cs="Calibri"/>
          <w:b/>
          <w:bCs/>
          <w:iCs/>
          <w:sz w:val="20"/>
          <w:szCs w:val="20"/>
          <w:lang w:eastAsia="it-IT"/>
        </w:rPr>
      </w:pPr>
      <w:r>
        <w:rPr>
          <w:rFonts w:ascii="Verdana" w:eastAsia="Times New Roman" w:hAnsi="Verdana" w:cs="Calibri"/>
          <w:b/>
          <w:bCs/>
          <w:iCs/>
          <w:sz w:val="20"/>
          <w:szCs w:val="20"/>
          <w:lang w:eastAsia="it-IT"/>
        </w:rPr>
        <w:t xml:space="preserve">LA </w:t>
      </w:r>
      <w:r w:rsidR="00E04893" w:rsidRPr="00E04893">
        <w:rPr>
          <w:rFonts w:ascii="Verdana" w:eastAsia="Times New Roman" w:hAnsi="Verdana" w:cs="Calibri"/>
          <w:b/>
          <w:bCs/>
          <w:iCs/>
          <w:sz w:val="20"/>
          <w:szCs w:val="20"/>
          <w:lang w:eastAsia="it-IT"/>
        </w:rPr>
        <w:t>DICHIARAZIONE DEI REDDITI</w:t>
      </w:r>
      <w:r>
        <w:rPr>
          <w:rFonts w:ascii="Verdana" w:eastAsia="Times New Roman" w:hAnsi="Verdana" w:cs="Calibri"/>
          <w:b/>
          <w:bCs/>
          <w:iCs/>
          <w:sz w:val="20"/>
          <w:szCs w:val="20"/>
          <w:lang w:eastAsia="it-IT"/>
        </w:rPr>
        <w:t xml:space="preserve"> 2017</w:t>
      </w:r>
    </w:p>
    <w:p w:rsidR="00807CFB" w:rsidRDefault="00807CFB" w:rsidP="00E04893">
      <w:pPr>
        <w:spacing w:after="0" w:line="240" w:lineRule="auto"/>
        <w:jc w:val="center"/>
        <w:rPr>
          <w:rFonts w:ascii="Verdana" w:eastAsia="Times New Roman" w:hAnsi="Verdana" w:cs="Calibri"/>
          <w:b/>
          <w:bCs/>
          <w:iCs/>
          <w:sz w:val="20"/>
          <w:szCs w:val="20"/>
          <w:lang w:eastAsia="it-IT"/>
        </w:rPr>
      </w:pPr>
    </w:p>
    <w:p w:rsidR="00807CFB" w:rsidRDefault="00807CFB" w:rsidP="00E04893">
      <w:pPr>
        <w:spacing w:after="0" w:line="240" w:lineRule="auto"/>
        <w:jc w:val="center"/>
        <w:rPr>
          <w:rFonts w:ascii="Verdana" w:eastAsia="Times New Roman" w:hAnsi="Verdana" w:cs="Calibri"/>
          <w:b/>
          <w:bCs/>
          <w:iCs/>
          <w:sz w:val="20"/>
          <w:szCs w:val="20"/>
          <w:lang w:eastAsia="it-IT"/>
        </w:rPr>
      </w:pPr>
    </w:p>
    <w:p w:rsidR="00F86CF5" w:rsidRDefault="00F86CF5" w:rsidP="00E04893">
      <w:pPr>
        <w:spacing w:after="0" w:line="240" w:lineRule="auto"/>
        <w:jc w:val="center"/>
        <w:rPr>
          <w:rFonts w:ascii="Verdana" w:eastAsia="Times New Roman" w:hAnsi="Verdana" w:cs="Calibri"/>
          <w:b/>
          <w:bCs/>
          <w:iCs/>
          <w:sz w:val="20"/>
          <w:szCs w:val="20"/>
          <w:lang w:eastAsia="it-IT"/>
        </w:rPr>
      </w:pPr>
    </w:p>
    <w:p w:rsidR="00807CFB" w:rsidRPr="00E04893" w:rsidRDefault="00807CFB" w:rsidP="00E04893">
      <w:pPr>
        <w:spacing w:after="0" w:line="240" w:lineRule="auto"/>
        <w:jc w:val="center"/>
        <w:rPr>
          <w:rFonts w:ascii="Verdana" w:eastAsia="Times New Roman" w:hAnsi="Verdana" w:cs="Calibri"/>
          <w:b/>
          <w:bCs/>
          <w:iCs/>
          <w:sz w:val="20"/>
          <w:szCs w:val="20"/>
          <w:lang w:eastAsia="it-IT"/>
        </w:rPr>
      </w:pPr>
    </w:p>
    <w:p w:rsidR="006B2A00" w:rsidRPr="00E04893" w:rsidRDefault="006B2A00" w:rsidP="00E04893">
      <w:pPr>
        <w:spacing w:after="0" w:line="240" w:lineRule="auto"/>
        <w:rPr>
          <w:rFonts w:ascii="Verdana" w:eastAsia="Times New Roman" w:hAnsi="Verdana" w:cs="Calibri"/>
          <w:sz w:val="20"/>
          <w:szCs w:val="20"/>
        </w:rPr>
      </w:pPr>
      <w:r w:rsidRPr="00E04893">
        <w:rPr>
          <w:rFonts w:ascii="Verdana" w:eastAsia="Times New Roman" w:hAnsi="Verdana" w:cs="Calibri"/>
          <w:sz w:val="20"/>
          <w:szCs w:val="20"/>
        </w:rPr>
        <w:t> </w:t>
      </w:r>
    </w:p>
    <w:p w:rsidR="006B2A00" w:rsidRPr="00E04893" w:rsidRDefault="006B2A00" w:rsidP="00E04893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rPr>
          <w:rFonts w:ascii="Verdana" w:eastAsia="Times New Roman" w:hAnsi="Verdana" w:cs="Calibri"/>
          <w:sz w:val="20"/>
          <w:szCs w:val="20"/>
          <w:lang w:eastAsia="it-IT"/>
        </w:rPr>
      </w:pPr>
      <w:r w:rsidRPr="00E04893">
        <w:rPr>
          <w:rFonts w:ascii="Verdana" w:eastAsia="Times New Roman" w:hAnsi="Verdana" w:cs="Calibri"/>
          <w:iCs/>
          <w:sz w:val="20"/>
          <w:szCs w:val="20"/>
          <w:lang w:eastAsia="it-IT"/>
        </w:rPr>
        <w:t>Analisi delle novità dei modelli dichiarativi, anche nei riguardi delle rivalutazioni e delle agevolazioni fiscali </w:t>
      </w:r>
    </w:p>
    <w:p w:rsidR="006B2A00" w:rsidRPr="00E04893" w:rsidRDefault="006B2A00" w:rsidP="00E04893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rPr>
          <w:rFonts w:ascii="Verdana" w:eastAsia="Times New Roman" w:hAnsi="Verdana" w:cs="Calibri"/>
          <w:sz w:val="20"/>
          <w:szCs w:val="20"/>
          <w:lang w:eastAsia="it-IT"/>
        </w:rPr>
      </w:pPr>
      <w:r w:rsidRPr="00E04893">
        <w:rPr>
          <w:rFonts w:ascii="Verdana" w:eastAsia="Times New Roman" w:hAnsi="Verdana" w:cs="Calibri"/>
          <w:iCs/>
          <w:sz w:val="20"/>
          <w:szCs w:val="20"/>
          <w:lang w:eastAsia="it-IT"/>
        </w:rPr>
        <w:t>Problematiche operative, criticità e casi di compilazione inerenti ai redditi d’impresa, di lavoro autonomo e regimi agevolati</w:t>
      </w:r>
    </w:p>
    <w:p w:rsidR="006B2A00" w:rsidRPr="00E04893" w:rsidRDefault="006B2A00" w:rsidP="00E04893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rPr>
          <w:rFonts w:ascii="Verdana" w:eastAsia="Times New Roman" w:hAnsi="Verdana" w:cs="Calibri"/>
          <w:sz w:val="20"/>
          <w:szCs w:val="20"/>
          <w:lang w:eastAsia="it-IT"/>
        </w:rPr>
      </w:pPr>
      <w:r w:rsidRPr="00E04893">
        <w:rPr>
          <w:rFonts w:ascii="Verdana" w:eastAsia="Times New Roman" w:hAnsi="Verdana" w:cs="Calibri"/>
          <w:iCs/>
          <w:sz w:val="20"/>
          <w:szCs w:val="20"/>
          <w:lang w:eastAsia="it-IT"/>
        </w:rPr>
        <w:t>Analisi di alcuni casi particolari di compilazione del quadri RF, RS e RQ   </w:t>
      </w:r>
    </w:p>
    <w:p w:rsidR="006B2A00" w:rsidRPr="00E04893" w:rsidRDefault="006B2A00" w:rsidP="00E04893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rPr>
          <w:rFonts w:ascii="Verdana" w:eastAsia="Times New Roman" w:hAnsi="Verdana" w:cs="Calibri"/>
          <w:sz w:val="20"/>
          <w:szCs w:val="20"/>
          <w:lang w:eastAsia="it-IT"/>
        </w:rPr>
      </w:pPr>
      <w:r w:rsidRPr="00E04893">
        <w:rPr>
          <w:rFonts w:ascii="Verdana" w:eastAsia="Times New Roman" w:hAnsi="Verdana" w:cs="Calibri"/>
          <w:iCs/>
          <w:sz w:val="20"/>
          <w:szCs w:val="20"/>
          <w:lang w:eastAsia="it-IT"/>
        </w:rPr>
        <w:t xml:space="preserve">Implicazioni delle assegnazioni dei beni ai soci e altre operazioni agevolate </w:t>
      </w:r>
    </w:p>
    <w:p w:rsidR="006B2A00" w:rsidRPr="00E04893" w:rsidRDefault="006B2A00" w:rsidP="00E04893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rPr>
          <w:rFonts w:ascii="Verdana" w:eastAsia="Times New Roman" w:hAnsi="Verdana" w:cs="Calibri"/>
          <w:sz w:val="20"/>
          <w:szCs w:val="20"/>
          <w:lang w:eastAsia="it-IT"/>
        </w:rPr>
      </w:pPr>
      <w:r w:rsidRPr="00E04893">
        <w:rPr>
          <w:rFonts w:ascii="Verdana" w:eastAsia="Times New Roman" w:hAnsi="Verdana" w:cs="Calibri"/>
          <w:iCs/>
          <w:sz w:val="20"/>
          <w:szCs w:val="20"/>
          <w:lang w:eastAsia="it-IT"/>
        </w:rPr>
        <w:t xml:space="preserve">Quadro RW e possibili riflessi nei riguardi della voluntary disclosure </w:t>
      </w:r>
    </w:p>
    <w:p w:rsidR="006B2A00" w:rsidRPr="00E04893" w:rsidRDefault="006B2A00" w:rsidP="00E04893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rPr>
          <w:rFonts w:ascii="Verdana" w:eastAsia="Times New Roman" w:hAnsi="Verdana" w:cs="Calibri"/>
          <w:sz w:val="20"/>
          <w:szCs w:val="20"/>
          <w:lang w:eastAsia="it-IT"/>
        </w:rPr>
      </w:pPr>
      <w:r w:rsidRPr="00E04893">
        <w:rPr>
          <w:rFonts w:ascii="Verdana" w:eastAsia="Times New Roman" w:hAnsi="Verdana" w:cs="Calibri"/>
          <w:iCs/>
          <w:sz w:val="20"/>
          <w:szCs w:val="20"/>
          <w:lang w:eastAsia="it-IT"/>
        </w:rPr>
        <w:t xml:space="preserve">Ravvedimento operoso degli adempimenti collegati ai modelli Redditi 2017 </w:t>
      </w:r>
    </w:p>
    <w:p w:rsidR="006B2A00" w:rsidRPr="00E04893" w:rsidRDefault="006B2A00" w:rsidP="00E04893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rPr>
          <w:rFonts w:ascii="Verdana" w:eastAsia="Times New Roman" w:hAnsi="Verdana" w:cs="Calibri"/>
          <w:sz w:val="20"/>
          <w:szCs w:val="20"/>
          <w:lang w:eastAsia="it-IT"/>
        </w:rPr>
      </w:pPr>
      <w:r w:rsidRPr="00E04893">
        <w:rPr>
          <w:rFonts w:ascii="Verdana" w:eastAsia="Times New Roman" w:hAnsi="Verdana" w:cs="Calibri"/>
          <w:iCs/>
          <w:sz w:val="20"/>
          <w:szCs w:val="20"/>
          <w:lang w:eastAsia="it-IT"/>
        </w:rPr>
        <w:t xml:space="preserve">Impatto ed effetti in sede di adempimento dei nuovi principi contabili nazionali </w:t>
      </w:r>
    </w:p>
    <w:p w:rsidR="00C468E4" w:rsidRPr="00E04893" w:rsidRDefault="006B2A00" w:rsidP="00E04893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rPr>
          <w:rFonts w:ascii="Verdana" w:eastAsia="Times New Roman" w:hAnsi="Verdana" w:cs="Calibri"/>
          <w:sz w:val="20"/>
          <w:szCs w:val="20"/>
        </w:rPr>
      </w:pPr>
      <w:r w:rsidRPr="00E04893">
        <w:rPr>
          <w:rFonts w:ascii="Verdana" w:eastAsia="Times New Roman" w:hAnsi="Verdana" w:cs="Calibri"/>
          <w:iCs/>
          <w:sz w:val="20"/>
          <w:szCs w:val="20"/>
          <w:lang w:eastAsia="it-IT"/>
        </w:rPr>
        <w:t>Puntualizzazioni in merito alle recenti novità di natura fiscale</w:t>
      </w:r>
    </w:p>
    <w:p w:rsidR="00C468E4" w:rsidRPr="00E04893" w:rsidRDefault="00C468E4" w:rsidP="00E04893">
      <w:pPr>
        <w:spacing w:after="0" w:line="240" w:lineRule="auto"/>
        <w:rPr>
          <w:rFonts w:ascii="Verdana" w:eastAsia="Times New Roman" w:hAnsi="Verdana" w:cs="Calibri"/>
          <w:iCs/>
          <w:sz w:val="20"/>
          <w:szCs w:val="20"/>
          <w:lang w:eastAsia="it-IT"/>
        </w:rPr>
      </w:pPr>
    </w:p>
    <w:p w:rsidR="00C468E4" w:rsidRPr="00E04893" w:rsidRDefault="00C468E4" w:rsidP="00E04893">
      <w:pPr>
        <w:spacing w:after="0" w:line="240" w:lineRule="auto"/>
        <w:rPr>
          <w:rFonts w:ascii="Verdana" w:eastAsia="Times New Roman" w:hAnsi="Verdana" w:cs="Calibri"/>
          <w:iCs/>
          <w:sz w:val="20"/>
          <w:szCs w:val="20"/>
          <w:lang w:eastAsia="it-IT"/>
        </w:rPr>
      </w:pPr>
    </w:p>
    <w:p w:rsidR="006B2A00" w:rsidRPr="00E04893" w:rsidRDefault="00C468E4" w:rsidP="00E0489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InfoTextOT-Bold"/>
          <w:b/>
          <w:bCs/>
          <w:sz w:val="20"/>
          <w:szCs w:val="20"/>
        </w:rPr>
      </w:pPr>
      <w:r w:rsidRPr="00E04893">
        <w:rPr>
          <w:rFonts w:ascii="Verdana" w:hAnsi="Verdana" w:cs="InfoTextOT-Bold"/>
          <w:b/>
          <w:bCs/>
          <w:sz w:val="20"/>
          <w:szCs w:val="20"/>
        </w:rPr>
        <w:t>DICHIARAZIONI DELLE SOCIETÀ E DETERMINAZIONE DEL REDDITO</w:t>
      </w:r>
    </w:p>
    <w:p w:rsidR="00C468E4" w:rsidRPr="00E04893" w:rsidRDefault="00C468E4" w:rsidP="00E04893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sz w:val="20"/>
          <w:szCs w:val="20"/>
          <w:lang w:eastAsia="it-IT"/>
        </w:rPr>
      </w:pPr>
    </w:p>
    <w:p w:rsidR="00C468E4" w:rsidRPr="00E04893" w:rsidRDefault="00C468E4" w:rsidP="00E04893">
      <w:pPr>
        <w:autoSpaceDE w:val="0"/>
        <w:autoSpaceDN w:val="0"/>
        <w:adjustRightInd w:val="0"/>
        <w:spacing w:after="0" w:line="240" w:lineRule="auto"/>
        <w:rPr>
          <w:rFonts w:ascii="Verdana" w:hAnsi="Verdana" w:cs="InfoTextOT-Bold"/>
          <w:b/>
          <w:bCs/>
          <w:i/>
          <w:sz w:val="20"/>
          <w:szCs w:val="20"/>
        </w:rPr>
      </w:pPr>
      <w:r w:rsidRPr="00E04893">
        <w:rPr>
          <w:rFonts w:ascii="Verdana" w:hAnsi="Verdana" w:cs="InfoTextOT-Bold"/>
          <w:b/>
          <w:bCs/>
          <w:i/>
          <w:sz w:val="20"/>
          <w:szCs w:val="20"/>
        </w:rPr>
        <w:t>Determinazione del reddito di impresa</w:t>
      </w:r>
    </w:p>
    <w:p w:rsidR="00E04893" w:rsidRPr="00E04893" w:rsidRDefault="00E04893" w:rsidP="00E04893">
      <w:pPr>
        <w:pStyle w:val="Paragrafoelenco"/>
        <w:numPr>
          <w:ilvl w:val="0"/>
          <w:numId w:val="7"/>
        </w:numPr>
        <w:spacing w:after="0" w:line="240" w:lineRule="auto"/>
        <w:rPr>
          <w:rFonts w:ascii="Verdana" w:eastAsia="Times New Roman" w:hAnsi="Verdana" w:cs="Calibri"/>
          <w:sz w:val="20"/>
          <w:szCs w:val="20"/>
          <w:lang w:eastAsia="it-IT"/>
        </w:rPr>
      </w:pPr>
      <w:r w:rsidRPr="00E04893">
        <w:rPr>
          <w:rFonts w:ascii="Verdana" w:eastAsia="Times New Roman" w:hAnsi="Verdana" w:cs="Calibri"/>
          <w:iCs/>
          <w:sz w:val="20"/>
          <w:szCs w:val="20"/>
          <w:lang w:eastAsia="it-IT"/>
        </w:rPr>
        <w:t>Problematiche operative, criticità e casi di compilazione inerenti ai redditi d’impresa, di lavoro autonomo e regimi agevolati</w:t>
      </w:r>
    </w:p>
    <w:p w:rsidR="00C468E4" w:rsidRPr="00E04893" w:rsidRDefault="00C468E4" w:rsidP="00E04893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InfoTextOT"/>
          <w:sz w:val="20"/>
          <w:szCs w:val="20"/>
        </w:rPr>
      </w:pPr>
      <w:r w:rsidRPr="00E04893">
        <w:rPr>
          <w:rFonts w:ascii="Verdana" w:hAnsi="Verdana" w:cs="InfoTextOT"/>
          <w:sz w:val="20"/>
          <w:szCs w:val="20"/>
        </w:rPr>
        <w:t>Impatti della riforma contabile sulla determinazione della base imponibile</w:t>
      </w:r>
    </w:p>
    <w:p w:rsidR="00C468E4" w:rsidRPr="00E04893" w:rsidRDefault="00C468E4" w:rsidP="00E04893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InfoTextOT-Italic"/>
          <w:i/>
          <w:iCs/>
          <w:sz w:val="20"/>
          <w:szCs w:val="20"/>
        </w:rPr>
      </w:pPr>
      <w:r w:rsidRPr="00E04893">
        <w:rPr>
          <w:rFonts w:ascii="Verdana" w:hAnsi="Verdana" w:cs="InfoTextOT"/>
          <w:sz w:val="20"/>
          <w:szCs w:val="20"/>
        </w:rPr>
        <w:t xml:space="preserve">Gestione dei </w:t>
      </w:r>
      <w:r w:rsidRPr="00E04893">
        <w:rPr>
          <w:rFonts w:ascii="Verdana" w:hAnsi="Verdana" w:cs="InfoTextOT-Italic"/>
          <w:i/>
          <w:iCs/>
          <w:sz w:val="20"/>
          <w:szCs w:val="20"/>
        </w:rPr>
        <w:t>super ammortamenti</w:t>
      </w:r>
    </w:p>
    <w:p w:rsidR="00C468E4" w:rsidRPr="00E04893" w:rsidRDefault="00C468E4" w:rsidP="00E04893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InfoTextOT"/>
          <w:sz w:val="20"/>
          <w:szCs w:val="20"/>
        </w:rPr>
      </w:pPr>
      <w:r w:rsidRPr="00E04893">
        <w:rPr>
          <w:rFonts w:ascii="Verdana" w:hAnsi="Verdana" w:cs="InfoTextOT"/>
          <w:sz w:val="20"/>
          <w:szCs w:val="20"/>
        </w:rPr>
        <w:t>Perdite su crediti e compilazione del prospetto di raccordo tra gestione civile e fiscale</w:t>
      </w:r>
    </w:p>
    <w:p w:rsidR="00C468E4" w:rsidRPr="00E04893" w:rsidRDefault="00C468E4" w:rsidP="00E04893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InfoTextOT"/>
          <w:sz w:val="20"/>
          <w:szCs w:val="20"/>
        </w:rPr>
      </w:pPr>
      <w:r w:rsidRPr="00E04893">
        <w:rPr>
          <w:rFonts w:ascii="Verdana" w:hAnsi="Verdana" w:cs="InfoTextOT"/>
          <w:sz w:val="20"/>
          <w:szCs w:val="20"/>
        </w:rPr>
        <w:t>Rinuncia ai finanziamenti da parte dei soci</w:t>
      </w:r>
    </w:p>
    <w:p w:rsidR="00C468E4" w:rsidRPr="00E04893" w:rsidRDefault="00C468E4" w:rsidP="00E04893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InfoTextOT"/>
          <w:sz w:val="20"/>
          <w:szCs w:val="20"/>
        </w:rPr>
      </w:pPr>
      <w:r w:rsidRPr="00E04893">
        <w:rPr>
          <w:rFonts w:ascii="Verdana" w:hAnsi="Verdana" w:cs="InfoTextOT"/>
          <w:sz w:val="20"/>
          <w:szCs w:val="20"/>
        </w:rPr>
        <w:t xml:space="preserve">Rendimento ACE per il 2016 </w:t>
      </w:r>
    </w:p>
    <w:p w:rsidR="00E04893" w:rsidRPr="00E04893" w:rsidRDefault="00E04893" w:rsidP="00E04893">
      <w:pPr>
        <w:pStyle w:val="Paragrafoelenco"/>
        <w:numPr>
          <w:ilvl w:val="0"/>
          <w:numId w:val="7"/>
        </w:numPr>
        <w:spacing w:after="0" w:line="240" w:lineRule="auto"/>
        <w:rPr>
          <w:rFonts w:ascii="Verdana" w:eastAsia="Times New Roman" w:hAnsi="Verdana" w:cs="Calibri"/>
          <w:sz w:val="20"/>
          <w:szCs w:val="20"/>
          <w:lang w:eastAsia="it-IT"/>
        </w:rPr>
      </w:pPr>
      <w:r w:rsidRPr="00E04893">
        <w:rPr>
          <w:rFonts w:ascii="Verdana" w:eastAsia="Times New Roman" w:hAnsi="Verdana" w:cs="Calibri"/>
          <w:iCs/>
          <w:sz w:val="20"/>
          <w:szCs w:val="20"/>
          <w:lang w:eastAsia="it-IT"/>
        </w:rPr>
        <w:t>Analisi di alcuni casi particolari di compilazione del quadri RF, RS e RQ   </w:t>
      </w:r>
    </w:p>
    <w:p w:rsidR="00C468E4" w:rsidRPr="00E04893" w:rsidRDefault="00C468E4" w:rsidP="00E04893">
      <w:pPr>
        <w:spacing w:after="0" w:line="240" w:lineRule="auto"/>
        <w:rPr>
          <w:rFonts w:ascii="Verdana" w:hAnsi="Verdana"/>
          <w:sz w:val="20"/>
          <w:szCs w:val="20"/>
        </w:rPr>
      </w:pPr>
    </w:p>
    <w:p w:rsidR="00E04893" w:rsidRPr="00E04893" w:rsidRDefault="00E04893" w:rsidP="00E04893">
      <w:pPr>
        <w:spacing w:after="0" w:line="240" w:lineRule="auto"/>
        <w:rPr>
          <w:rFonts w:ascii="Verdana" w:eastAsia="Times New Roman" w:hAnsi="Verdana" w:cs="Helvetica"/>
          <w:b/>
          <w:bCs/>
          <w:sz w:val="20"/>
          <w:szCs w:val="20"/>
          <w:lang w:eastAsia="it-IT"/>
        </w:rPr>
      </w:pPr>
    </w:p>
    <w:p w:rsidR="00E04893" w:rsidRPr="00E04893" w:rsidRDefault="00E04893" w:rsidP="00E04893">
      <w:pPr>
        <w:spacing w:after="0" w:line="240" w:lineRule="auto"/>
        <w:rPr>
          <w:rFonts w:ascii="Verdana" w:eastAsia="Times New Roman" w:hAnsi="Verdana" w:cs="Helvetica"/>
          <w:sz w:val="20"/>
          <w:szCs w:val="20"/>
          <w:lang w:eastAsia="it-IT"/>
        </w:rPr>
      </w:pPr>
      <w:r w:rsidRPr="00E04893">
        <w:rPr>
          <w:rFonts w:ascii="Verdana" w:eastAsia="Times New Roman" w:hAnsi="Verdana" w:cs="Helvetica"/>
          <w:b/>
          <w:bCs/>
          <w:sz w:val="20"/>
          <w:szCs w:val="20"/>
          <w:lang w:eastAsia="it-IT"/>
        </w:rPr>
        <w:t xml:space="preserve">Gestione Irap </w:t>
      </w:r>
    </w:p>
    <w:p w:rsidR="00E04893" w:rsidRPr="00E04893" w:rsidRDefault="00E04893" w:rsidP="00E04893">
      <w:pPr>
        <w:numPr>
          <w:ilvl w:val="0"/>
          <w:numId w:val="12"/>
        </w:numPr>
        <w:spacing w:after="0" w:line="240" w:lineRule="auto"/>
        <w:rPr>
          <w:rFonts w:ascii="Verdana" w:eastAsia="Times New Roman" w:hAnsi="Verdana" w:cs="Helvetica"/>
          <w:sz w:val="20"/>
          <w:szCs w:val="20"/>
          <w:lang w:eastAsia="it-IT"/>
        </w:rPr>
      </w:pPr>
      <w:r w:rsidRPr="00E04893">
        <w:rPr>
          <w:rFonts w:ascii="Verdana" w:eastAsia="Times New Roman" w:hAnsi="Verdana" w:cs="Helvetica"/>
          <w:sz w:val="20"/>
          <w:szCs w:val="20"/>
          <w:lang w:eastAsia="it-IT"/>
        </w:rPr>
        <w:t>Soggettività passiva</w:t>
      </w:r>
    </w:p>
    <w:p w:rsidR="00E04893" w:rsidRPr="00E04893" w:rsidRDefault="00E04893" w:rsidP="00E04893">
      <w:pPr>
        <w:numPr>
          <w:ilvl w:val="0"/>
          <w:numId w:val="12"/>
        </w:numPr>
        <w:spacing w:after="0" w:line="240" w:lineRule="auto"/>
        <w:rPr>
          <w:rFonts w:ascii="Verdana" w:eastAsia="Times New Roman" w:hAnsi="Verdana" w:cs="Helvetica"/>
          <w:sz w:val="20"/>
          <w:szCs w:val="20"/>
          <w:lang w:eastAsia="it-IT"/>
        </w:rPr>
      </w:pPr>
      <w:r w:rsidRPr="00E04893">
        <w:rPr>
          <w:rFonts w:ascii="Verdana" w:eastAsia="Times New Roman" w:hAnsi="Verdana" w:cs="Helvetica"/>
          <w:sz w:val="20"/>
          <w:szCs w:val="20"/>
          <w:lang w:eastAsia="it-IT"/>
        </w:rPr>
        <w:t>Conseguenze della soppressione dell’area straordinaria del conto economico</w:t>
      </w:r>
    </w:p>
    <w:p w:rsidR="00E04893" w:rsidRPr="00E04893" w:rsidRDefault="00E04893" w:rsidP="00E04893">
      <w:pPr>
        <w:numPr>
          <w:ilvl w:val="0"/>
          <w:numId w:val="12"/>
        </w:numPr>
        <w:spacing w:after="0" w:line="240" w:lineRule="auto"/>
        <w:rPr>
          <w:rFonts w:ascii="Verdana" w:eastAsia="Times New Roman" w:hAnsi="Verdana" w:cs="Helvetica"/>
          <w:sz w:val="20"/>
          <w:szCs w:val="20"/>
          <w:lang w:eastAsia="it-IT"/>
        </w:rPr>
      </w:pPr>
      <w:r w:rsidRPr="00E04893">
        <w:rPr>
          <w:rFonts w:ascii="Verdana" w:eastAsia="Times New Roman" w:hAnsi="Verdana" w:cs="Helvetica"/>
          <w:sz w:val="20"/>
          <w:szCs w:val="20"/>
          <w:lang w:eastAsia="it-IT"/>
        </w:rPr>
        <w:t>Determinazione del valore della produzione netta</w:t>
      </w:r>
    </w:p>
    <w:p w:rsidR="00E04893" w:rsidRPr="00E04893" w:rsidRDefault="00E04893" w:rsidP="00E04893">
      <w:pPr>
        <w:numPr>
          <w:ilvl w:val="0"/>
          <w:numId w:val="12"/>
        </w:numPr>
        <w:spacing w:after="0" w:line="240" w:lineRule="auto"/>
        <w:rPr>
          <w:rFonts w:ascii="Verdana" w:eastAsia="Times New Roman" w:hAnsi="Verdana" w:cs="Helvetica"/>
          <w:sz w:val="20"/>
          <w:szCs w:val="20"/>
          <w:lang w:eastAsia="it-IT"/>
        </w:rPr>
      </w:pPr>
      <w:r w:rsidRPr="00E04893">
        <w:rPr>
          <w:rFonts w:ascii="Verdana" w:eastAsia="Times New Roman" w:hAnsi="Verdana" w:cs="Helvetica"/>
          <w:sz w:val="20"/>
          <w:szCs w:val="20"/>
          <w:lang w:eastAsia="it-IT"/>
        </w:rPr>
        <w:t>Gestione delle deduzioni</w:t>
      </w:r>
    </w:p>
    <w:p w:rsidR="00EB1EE2" w:rsidRPr="00EB1EE2" w:rsidRDefault="00E04893" w:rsidP="00E04893">
      <w:pPr>
        <w:pStyle w:val="Paragrafoelenco"/>
        <w:numPr>
          <w:ilvl w:val="0"/>
          <w:numId w:val="12"/>
        </w:numPr>
        <w:spacing w:after="0" w:line="240" w:lineRule="auto"/>
        <w:rPr>
          <w:rStyle w:val="Enfasicorsivo"/>
          <w:rFonts w:ascii="Verdana" w:hAnsi="Verdana"/>
          <w:iCs w:val="0"/>
        </w:rPr>
      </w:pPr>
      <w:r w:rsidRPr="00E04893">
        <w:rPr>
          <w:rFonts w:ascii="Verdana" w:eastAsia="Times New Roman" w:hAnsi="Verdana" w:cs="Helvetica"/>
          <w:sz w:val="20"/>
          <w:szCs w:val="20"/>
          <w:lang w:eastAsia="it-IT"/>
        </w:rPr>
        <w:t>Credito di imposta nei casi di assenza del personale</w:t>
      </w:r>
      <w:r w:rsidR="00C468E4" w:rsidRPr="00E04893">
        <w:rPr>
          <w:rStyle w:val="Enfasicorsivo"/>
          <w:rFonts w:ascii="Verdana" w:hAnsi="Verdana" w:cs="Helvetica"/>
          <w:i w:val="0"/>
          <w:sz w:val="20"/>
          <w:szCs w:val="20"/>
        </w:rPr>
        <w:t xml:space="preserve"> </w:t>
      </w:r>
      <w:bookmarkEnd w:id="0"/>
    </w:p>
    <w:p w:rsidR="00EB1EE2" w:rsidRDefault="00EB1EE2" w:rsidP="00EB1EE2">
      <w:pPr>
        <w:spacing w:after="0" w:line="240" w:lineRule="auto"/>
        <w:rPr>
          <w:rFonts w:ascii="pt_sansregular" w:hAnsi="pt_sansregular" w:cs="Helvetica"/>
          <w:i/>
          <w:color w:val="727272"/>
          <w:sz w:val="20"/>
          <w:szCs w:val="20"/>
        </w:rPr>
      </w:pPr>
    </w:p>
    <w:p w:rsidR="00EB1EE2" w:rsidRDefault="00EB1EE2" w:rsidP="00EB1EE2">
      <w:pPr>
        <w:spacing w:after="0" w:line="240" w:lineRule="auto"/>
        <w:rPr>
          <w:rFonts w:ascii="pt_sansregular" w:hAnsi="pt_sansregular" w:cs="Helvetica"/>
          <w:color w:val="727272"/>
          <w:sz w:val="20"/>
          <w:szCs w:val="20"/>
        </w:rPr>
      </w:pPr>
      <w:r>
        <w:rPr>
          <w:rFonts w:ascii="pt_sansregular" w:hAnsi="pt_sansregular" w:cs="Helvetica"/>
          <w:color w:val="727272"/>
          <w:sz w:val="20"/>
          <w:szCs w:val="20"/>
        </w:rPr>
        <w:t xml:space="preserve">Relatore Giancarlo </w:t>
      </w:r>
      <w:proofErr w:type="spellStart"/>
      <w:r>
        <w:rPr>
          <w:rFonts w:ascii="pt_sansregular" w:hAnsi="pt_sansregular" w:cs="Helvetica"/>
          <w:color w:val="727272"/>
          <w:sz w:val="20"/>
          <w:szCs w:val="20"/>
        </w:rPr>
        <w:t>Modolo</w:t>
      </w:r>
      <w:proofErr w:type="spellEnd"/>
    </w:p>
    <w:p w:rsidR="00EB1EE2" w:rsidRDefault="00EB1EE2" w:rsidP="00EB1EE2">
      <w:pPr>
        <w:spacing w:after="0" w:line="240" w:lineRule="auto"/>
        <w:rPr>
          <w:rFonts w:ascii="pt_sansregular" w:hAnsi="pt_sansregular" w:cs="Helvetica"/>
          <w:color w:val="727272"/>
          <w:sz w:val="20"/>
          <w:szCs w:val="20"/>
        </w:rPr>
      </w:pPr>
    </w:p>
    <w:p w:rsidR="00EB1EE2" w:rsidRDefault="00EB1EE2" w:rsidP="00EB1EE2">
      <w:pPr>
        <w:spacing w:after="0" w:line="240" w:lineRule="auto"/>
        <w:rPr>
          <w:rFonts w:ascii="pt_sansregular" w:hAnsi="pt_sansregular" w:cs="Helvetica"/>
          <w:color w:val="727272"/>
          <w:sz w:val="20"/>
          <w:szCs w:val="20"/>
        </w:rPr>
      </w:pPr>
      <w:r>
        <w:rPr>
          <w:rFonts w:ascii="pt_sansregular" w:hAnsi="pt_sansregular" w:cs="Helvetica"/>
          <w:color w:val="727272"/>
          <w:sz w:val="20"/>
          <w:szCs w:val="20"/>
        </w:rPr>
        <w:t>Ore 9 – 13</w:t>
      </w:r>
    </w:p>
    <w:p w:rsidR="00EB1EE2" w:rsidRDefault="00EB1EE2" w:rsidP="00EB1EE2">
      <w:pPr>
        <w:spacing w:after="0" w:line="240" w:lineRule="auto"/>
        <w:rPr>
          <w:rFonts w:ascii="pt_sansregular" w:hAnsi="pt_sansregular" w:cs="Helvetica"/>
          <w:color w:val="727272"/>
          <w:sz w:val="20"/>
          <w:szCs w:val="20"/>
        </w:rPr>
      </w:pPr>
    </w:p>
    <w:p w:rsidR="00C468E4" w:rsidRPr="00EB1EE2" w:rsidRDefault="00EB1EE2" w:rsidP="00EB1EE2">
      <w:pPr>
        <w:spacing w:after="0" w:line="240" w:lineRule="auto"/>
        <w:rPr>
          <w:rFonts w:ascii="Verdana" w:hAnsi="Verdana"/>
          <w:i/>
        </w:rPr>
      </w:pPr>
      <w:r>
        <w:rPr>
          <w:rFonts w:ascii="pt_sansregular" w:hAnsi="pt_sansregular" w:cs="Helvetica"/>
          <w:color w:val="727272"/>
          <w:sz w:val="20"/>
          <w:szCs w:val="20"/>
        </w:rPr>
        <w:t>Sede Palazzo delle Professioni Prato – via Pugliesi 26</w:t>
      </w:r>
      <w:r w:rsidR="00C468E4" w:rsidRPr="00EB1EE2">
        <w:rPr>
          <w:rFonts w:ascii="pt_sansregular" w:hAnsi="pt_sansregular" w:cs="Helvetica"/>
          <w:i/>
          <w:color w:val="727272"/>
          <w:sz w:val="20"/>
          <w:szCs w:val="20"/>
        </w:rPr>
        <w:br/>
      </w:r>
    </w:p>
    <w:sectPr w:rsidR="00C468E4" w:rsidRPr="00EB1EE2" w:rsidSect="00F30C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TextO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foTextO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foTextOT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pt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A20"/>
    <w:multiLevelType w:val="hybridMultilevel"/>
    <w:tmpl w:val="E6FA82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71C86"/>
    <w:multiLevelType w:val="hybridMultilevel"/>
    <w:tmpl w:val="DA0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14687"/>
    <w:multiLevelType w:val="hybridMultilevel"/>
    <w:tmpl w:val="DC5067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807D2"/>
    <w:multiLevelType w:val="multilevel"/>
    <w:tmpl w:val="67A6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5D41CB"/>
    <w:multiLevelType w:val="multilevel"/>
    <w:tmpl w:val="712AD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9E3585"/>
    <w:multiLevelType w:val="multilevel"/>
    <w:tmpl w:val="E99EE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51635A"/>
    <w:multiLevelType w:val="multilevel"/>
    <w:tmpl w:val="61D6C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527A0D"/>
    <w:multiLevelType w:val="hybridMultilevel"/>
    <w:tmpl w:val="C616AF88"/>
    <w:lvl w:ilvl="0" w:tplc="6C4631E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D5EDE"/>
    <w:multiLevelType w:val="multilevel"/>
    <w:tmpl w:val="55366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6853D3"/>
    <w:multiLevelType w:val="multilevel"/>
    <w:tmpl w:val="1CE4A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916AAF"/>
    <w:multiLevelType w:val="hybridMultilevel"/>
    <w:tmpl w:val="32B0F026"/>
    <w:lvl w:ilvl="0" w:tplc="0410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1">
    <w:nsid w:val="5ABB0486"/>
    <w:multiLevelType w:val="hybridMultilevel"/>
    <w:tmpl w:val="E74250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184BE8"/>
    <w:multiLevelType w:val="multilevel"/>
    <w:tmpl w:val="A6C0A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12"/>
  </w:num>
  <w:num w:numId="7">
    <w:abstractNumId w:val="11"/>
  </w:num>
  <w:num w:numId="8">
    <w:abstractNumId w:val="0"/>
  </w:num>
  <w:num w:numId="9">
    <w:abstractNumId w:val="4"/>
  </w:num>
  <w:num w:numId="10">
    <w:abstractNumId w:val="5"/>
  </w:num>
  <w:num w:numId="11">
    <w:abstractNumId w:val="8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283"/>
  <w:characterSpacingControl w:val="doNotCompress"/>
  <w:compat/>
  <w:rsids>
    <w:rsidRoot w:val="006B2A00"/>
    <w:rsid w:val="00013732"/>
    <w:rsid w:val="0012417D"/>
    <w:rsid w:val="00321CE2"/>
    <w:rsid w:val="006B2A00"/>
    <w:rsid w:val="00807CFB"/>
    <w:rsid w:val="00C468E4"/>
    <w:rsid w:val="00E04893"/>
    <w:rsid w:val="00EB1EE2"/>
    <w:rsid w:val="00F30C1B"/>
    <w:rsid w:val="00F8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0C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6B2A00"/>
    <w:rPr>
      <w:i/>
      <w:iCs/>
    </w:rPr>
  </w:style>
  <w:style w:type="paragraph" w:styleId="Paragrafoelenco">
    <w:name w:val="List Paragraph"/>
    <w:basedOn w:val="Normale"/>
    <w:uiPriority w:val="34"/>
    <w:qFormat/>
    <w:rsid w:val="006B2A00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C468E4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468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E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DCDDDD"/>
                <w:right w:val="none" w:sz="0" w:space="0" w:color="auto"/>
              </w:divBdr>
              <w:divsChild>
                <w:div w:id="1498300478">
                  <w:marLeft w:val="0"/>
                  <w:marRight w:val="0"/>
                  <w:marTop w:val="525"/>
                  <w:marBottom w:val="0"/>
                  <w:divBdr>
                    <w:top w:val="single" w:sz="6" w:space="26" w:color="DC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Giancarlo</dc:creator>
  <cp:lastModifiedBy>daniela.daniele</cp:lastModifiedBy>
  <cp:revision>2</cp:revision>
  <cp:lastPrinted>2017-04-27T09:17:00Z</cp:lastPrinted>
  <dcterms:created xsi:type="dcterms:W3CDTF">2017-04-27T09:19:00Z</dcterms:created>
  <dcterms:modified xsi:type="dcterms:W3CDTF">2017-04-27T09:19:00Z</dcterms:modified>
</cp:coreProperties>
</file>