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4012" w14:textId="0A7F2C8A" w:rsidR="000F1AC2" w:rsidRDefault="000F1AC2" w:rsidP="000F1AC2">
      <w:pPr>
        <w:pStyle w:val="Paragrafoelenco"/>
        <w:rPr>
          <w:b/>
          <w:u w:val="single"/>
        </w:rPr>
      </w:pPr>
    </w:p>
    <w:p w14:paraId="1EF07778" w14:textId="4BDC6699" w:rsidR="001270F6" w:rsidRDefault="00D7769D" w:rsidP="001270F6">
      <w:pPr>
        <w:spacing w:after="0"/>
        <w:jc w:val="right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965EA9F" wp14:editId="005DF8AA">
            <wp:simplePos x="0" y="0"/>
            <wp:positionH relativeFrom="column">
              <wp:posOffset>2471420</wp:posOffset>
            </wp:positionH>
            <wp:positionV relativeFrom="paragraph">
              <wp:posOffset>19050</wp:posOffset>
            </wp:positionV>
            <wp:extent cx="800100" cy="807187"/>
            <wp:effectExtent l="0" t="0" r="0" b="5715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1270F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BC39173" wp14:editId="28AFB3C8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1709420" cy="9937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23F131" w14:textId="77777777" w:rsidR="001270F6" w:rsidRPr="00F5461B" w:rsidRDefault="001270F6" w:rsidP="001270F6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 xml:space="preserve"> </w:t>
      </w:r>
      <w:r>
        <w:rPr>
          <w:b/>
          <w:i/>
          <w:sz w:val="16"/>
          <w:szCs w:val="16"/>
        </w:rPr>
        <w:tab/>
        <w:t xml:space="preserve">                            </w:t>
      </w:r>
      <w:r w:rsidRPr="008B7BA1">
        <w:rPr>
          <w:b/>
          <w:i/>
        </w:rPr>
        <w:t xml:space="preserve">Ordine dei Dottori </w:t>
      </w:r>
      <w:r>
        <w:rPr>
          <w:b/>
          <w:i/>
        </w:rPr>
        <w:t xml:space="preserve">  </w:t>
      </w:r>
      <w:r w:rsidRPr="008B7BA1">
        <w:rPr>
          <w:b/>
          <w:i/>
        </w:rPr>
        <w:t xml:space="preserve">Commercialisti e degli  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               E</w:t>
      </w:r>
      <w:r w:rsidRPr="008B7BA1">
        <w:rPr>
          <w:b/>
          <w:i/>
        </w:rPr>
        <w:t xml:space="preserve">sperti </w:t>
      </w:r>
      <w:r>
        <w:rPr>
          <w:b/>
          <w:i/>
        </w:rPr>
        <w:t xml:space="preserve">Contabili </w:t>
      </w:r>
      <w:r w:rsidRPr="008B7BA1">
        <w:rPr>
          <w:b/>
          <w:i/>
        </w:rPr>
        <w:t>della Spezia</w:t>
      </w:r>
    </w:p>
    <w:p w14:paraId="1FE899ED" w14:textId="77777777" w:rsidR="001270F6" w:rsidRDefault="001270F6" w:rsidP="001270F6">
      <w:r>
        <w:br w:type="textWrapping" w:clear="all"/>
        <w:t>Associazione Nazionale Commercialisti La Spezia</w:t>
      </w:r>
    </w:p>
    <w:p w14:paraId="2C2F0303" w14:textId="22934CC7" w:rsidR="001270F6" w:rsidRDefault="001270F6" w:rsidP="000F1AC2">
      <w:pPr>
        <w:pStyle w:val="Paragrafoelenco"/>
        <w:rPr>
          <w:b/>
          <w:u w:val="single"/>
        </w:rPr>
      </w:pPr>
    </w:p>
    <w:p w14:paraId="07F53B19" w14:textId="65E8E886" w:rsidR="001270F6" w:rsidRDefault="001270F6" w:rsidP="000F1AC2">
      <w:pPr>
        <w:pStyle w:val="Paragrafoelenco"/>
        <w:rPr>
          <w:b/>
          <w:u w:val="single"/>
        </w:rPr>
      </w:pPr>
    </w:p>
    <w:p w14:paraId="3C4BBCBD" w14:textId="77777777" w:rsidR="001270F6" w:rsidRPr="001270F6" w:rsidRDefault="001270F6" w:rsidP="001270F6">
      <w:pPr>
        <w:jc w:val="center"/>
        <w:rPr>
          <w:b/>
          <w:sz w:val="28"/>
          <w:szCs w:val="28"/>
        </w:rPr>
      </w:pPr>
      <w:r w:rsidRPr="001270F6">
        <w:rPr>
          <w:b/>
          <w:sz w:val="28"/>
          <w:szCs w:val="28"/>
        </w:rPr>
        <w:t>CORSO REVISORI LEGALI DEI CONTI</w:t>
      </w:r>
    </w:p>
    <w:p w14:paraId="2C074A98" w14:textId="77777777" w:rsidR="001270F6" w:rsidRDefault="001270F6" w:rsidP="001270F6">
      <w:pPr>
        <w:jc w:val="center"/>
        <w:rPr>
          <w:b/>
          <w:u w:val="single"/>
        </w:rPr>
      </w:pPr>
      <w:r>
        <w:rPr>
          <w:u w:val="single"/>
        </w:rPr>
        <w:t xml:space="preserve">Gli incontri si svolgeranno presso la </w:t>
      </w:r>
      <w:r w:rsidRPr="008006B3">
        <w:rPr>
          <w:b/>
          <w:u w:val="single"/>
        </w:rPr>
        <w:t xml:space="preserve">Sala </w:t>
      </w:r>
      <w:r>
        <w:rPr>
          <w:b/>
          <w:u w:val="single"/>
        </w:rPr>
        <w:t>Multimediale di Tele Liguria Sud,</w:t>
      </w:r>
    </w:p>
    <w:p w14:paraId="409479C6" w14:textId="30D30F86" w:rsidR="001270F6" w:rsidRDefault="001270F6" w:rsidP="001270F6">
      <w:pPr>
        <w:jc w:val="center"/>
        <w:rPr>
          <w:b/>
          <w:u w:val="single"/>
        </w:rPr>
      </w:pPr>
      <w:r>
        <w:rPr>
          <w:b/>
          <w:u w:val="single"/>
        </w:rPr>
        <w:t xml:space="preserve"> Piazzale Giovanni XXIII La S</w:t>
      </w:r>
      <w:r w:rsidRPr="008006B3">
        <w:rPr>
          <w:b/>
          <w:u w:val="single"/>
        </w:rPr>
        <w:t>pezia</w:t>
      </w:r>
      <w:r>
        <w:rPr>
          <w:b/>
          <w:u w:val="single"/>
        </w:rPr>
        <w:t xml:space="preserve"> (SP)</w:t>
      </w:r>
    </w:p>
    <w:p w14:paraId="1B1075FA" w14:textId="77777777" w:rsidR="001270F6" w:rsidRPr="00423FA1" w:rsidRDefault="001270F6" w:rsidP="001270F6">
      <w:pPr>
        <w:jc w:val="center"/>
        <w:rPr>
          <w:u w:val="single"/>
        </w:rPr>
      </w:pPr>
    </w:p>
    <w:p w14:paraId="618AB183" w14:textId="77777777" w:rsidR="001270F6" w:rsidRDefault="001270F6" w:rsidP="001270F6">
      <w:pPr>
        <w:spacing w:after="0"/>
        <w:rPr>
          <w:b/>
        </w:rPr>
      </w:pPr>
      <w:r>
        <w:rPr>
          <w:b/>
        </w:rPr>
        <w:t>RELATORE PROF.SSA ROBERTA PROVASI DOCENTE ALL’UNIVERSITA’ BICOCCA DI MILANO</w:t>
      </w:r>
    </w:p>
    <w:p w14:paraId="332D5098" w14:textId="6C79B0FB" w:rsidR="001270F6" w:rsidRDefault="001270F6" w:rsidP="000F1AC2">
      <w:pPr>
        <w:pStyle w:val="Paragrafoelenco"/>
        <w:rPr>
          <w:b/>
          <w:u w:val="single"/>
        </w:rPr>
      </w:pPr>
    </w:p>
    <w:p w14:paraId="13877E41" w14:textId="50033AD6" w:rsidR="001270F6" w:rsidRDefault="001270F6" w:rsidP="000F1AC2">
      <w:pPr>
        <w:pStyle w:val="Paragrafoelenco"/>
        <w:rPr>
          <w:b/>
          <w:u w:val="single"/>
        </w:rPr>
      </w:pPr>
    </w:p>
    <w:p w14:paraId="26F4F890" w14:textId="77777777" w:rsidR="001270F6" w:rsidRDefault="001270F6" w:rsidP="000F1AC2">
      <w:pPr>
        <w:pStyle w:val="Paragrafoelenco"/>
        <w:rPr>
          <w:b/>
          <w:u w:val="single"/>
        </w:rPr>
      </w:pPr>
    </w:p>
    <w:p w14:paraId="5A1FB706" w14:textId="3FC7FF4D" w:rsidR="000F1AC2" w:rsidRDefault="000F1AC2" w:rsidP="00916667">
      <w:pPr>
        <w:pStyle w:val="Paragrafoelenco"/>
        <w:jc w:val="center"/>
        <w:rPr>
          <w:b/>
          <w:sz w:val="28"/>
          <w:szCs w:val="28"/>
          <w:u w:val="single"/>
        </w:rPr>
      </w:pPr>
      <w:r w:rsidRPr="00916667">
        <w:rPr>
          <w:b/>
          <w:sz w:val="28"/>
          <w:szCs w:val="28"/>
          <w:u w:val="single"/>
        </w:rPr>
        <w:t>L</w:t>
      </w:r>
      <w:r w:rsidR="00114DC1">
        <w:rPr>
          <w:b/>
          <w:sz w:val="28"/>
          <w:szCs w:val="28"/>
          <w:u w:val="single"/>
        </w:rPr>
        <w:t>E ATTIVITA’</w:t>
      </w:r>
      <w:r w:rsidR="001C08CD">
        <w:rPr>
          <w:b/>
          <w:sz w:val="28"/>
          <w:szCs w:val="28"/>
          <w:u w:val="single"/>
        </w:rPr>
        <w:t xml:space="preserve"> DELL’ORGANO DI CONTROLLO </w:t>
      </w:r>
      <w:r w:rsidRPr="00916667">
        <w:rPr>
          <w:b/>
          <w:sz w:val="28"/>
          <w:szCs w:val="28"/>
          <w:u w:val="single"/>
        </w:rPr>
        <w:t xml:space="preserve">NELLE SRL AI SENSI DEL </w:t>
      </w:r>
      <w:r w:rsidR="001C08CD">
        <w:rPr>
          <w:b/>
          <w:sz w:val="28"/>
          <w:szCs w:val="28"/>
          <w:u w:val="single"/>
        </w:rPr>
        <w:t>CODICE DELLA CRISI E DELL’INSOLVENZA</w:t>
      </w:r>
      <w:r w:rsidR="00114DC1">
        <w:rPr>
          <w:b/>
          <w:sz w:val="28"/>
          <w:szCs w:val="28"/>
          <w:u w:val="single"/>
        </w:rPr>
        <w:t xml:space="preserve">: </w:t>
      </w:r>
    </w:p>
    <w:p w14:paraId="0FFE147A" w14:textId="77777777" w:rsidR="00C84C26" w:rsidRPr="00ED6C2C" w:rsidRDefault="00C84C26" w:rsidP="001270F6">
      <w:pPr>
        <w:jc w:val="center"/>
        <w:rPr>
          <w:b/>
          <w:sz w:val="28"/>
          <w:szCs w:val="28"/>
        </w:rPr>
      </w:pPr>
    </w:p>
    <w:p w14:paraId="65AFBCC1" w14:textId="583822DB" w:rsidR="001270F6" w:rsidRPr="00ED6C2C" w:rsidRDefault="001270F6" w:rsidP="001270F6">
      <w:pPr>
        <w:jc w:val="center"/>
        <w:rPr>
          <w:b/>
          <w:color w:val="0000FF"/>
          <w:sz w:val="28"/>
          <w:szCs w:val="28"/>
        </w:rPr>
      </w:pPr>
      <w:r w:rsidRPr="00ED6C2C">
        <w:rPr>
          <w:b/>
          <w:color w:val="0000FF"/>
          <w:sz w:val="28"/>
          <w:szCs w:val="28"/>
        </w:rPr>
        <w:t>12 NOVEMBRE 201</w:t>
      </w:r>
      <w:r w:rsidR="00AB5871">
        <w:rPr>
          <w:b/>
          <w:color w:val="0000FF"/>
          <w:sz w:val="28"/>
          <w:szCs w:val="28"/>
        </w:rPr>
        <w:t>9</w:t>
      </w:r>
      <w:r w:rsidRPr="00ED6C2C">
        <w:rPr>
          <w:b/>
          <w:color w:val="0000FF"/>
          <w:sz w:val="28"/>
          <w:szCs w:val="28"/>
        </w:rPr>
        <w:t xml:space="preserve"> (14.30 - 19.30)</w:t>
      </w:r>
    </w:p>
    <w:p w14:paraId="2FAABF32" w14:textId="77777777" w:rsidR="000F1AC2" w:rsidRDefault="000F1AC2" w:rsidP="000F1AC2">
      <w:pPr>
        <w:pStyle w:val="Paragrafoelenco"/>
        <w:rPr>
          <w:b/>
          <w:u w:val="single"/>
        </w:rPr>
      </w:pPr>
    </w:p>
    <w:p w14:paraId="73156CB9" w14:textId="52BE94C6" w:rsidR="001C08CD" w:rsidRPr="00EF6FA7" w:rsidRDefault="001C08CD" w:rsidP="00C84C26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La costituzione</w:t>
      </w:r>
      <w:r w:rsidR="000F1AC2" w:rsidRPr="00182BBE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l’organo di controllo nelle srl </w:t>
      </w:r>
      <w:r w:rsidR="00450F1B">
        <w:rPr>
          <w:sz w:val="24"/>
          <w:szCs w:val="24"/>
        </w:rPr>
        <w:t xml:space="preserve">e nelle società cooperative: </w:t>
      </w:r>
      <w:r>
        <w:rPr>
          <w:sz w:val="24"/>
          <w:szCs w:val="24"/>
        </w:rPr>
        <w:t>gli effetti sul governo societario</w:t>
      </w:r>
      <w:r w:rsidR="00EF6FA7">
        <w:rPr>
          <w:sz w:val="24"/>
          <w:szCs w:val="24"/>
        </w:rPr>
        <w:t xml:space="preserve"> </w:t>
      </w:r>
      <w:r w:rsidR="00EF6FA7">
        <w:rPr>
          <w:b/>
          <w:sz w:val="24"/>
          <w:szCs w:val="24"/>
        </w:rPr>
        <w:t>(A.5.10)</w:t>
      </w:r>
      <w:r w:rsidR="00D7769D">
        <w:rPr>
          <w:b/>
          <w:sz w:val="24"/>
          <w:szCs w:val="24"/>
        </w:rPr>
        <w:t>;</w:t>
      </w:r>
    </w:p>
    <w:p w14:paraId="17F8EA79" w14:textId="77777777" w:rsidR="000F1AC2" w:rsidRPr="00182BBE" w:rsidRDefault="001C08CD" w:rsidP="00C84C26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Le procedure preliminari all’accettazione dell’incarico:</w:t>
      </w:r>
      <w:r w:rsidR="000F1AC2" w:rsidRPr="00182BBE">
        <w:rPr>
          <w:sz w:val="24"/>
          <w:szCs w:val="24"/>
        </w:rPr>
        <w:t xml:space="preserve"> la valutazione dell’indipendenza</w:t>
      </w:r>
      <w:r w:rsidR="008F43AB" w:rsidRPr="00182BBE">
        <w:rPr>
          <w:sz w:val="24"/>
          <w:szCs w:val="24"/>
        </w:rPr>
        <w:t xml:space="preserve">, </w:t>
      </w:r>
    </w:p>
    <w:p w14:paraId="4347E1C6" w14:textId="745E5288" w:rsidR="000F1AC2" w:rsidRDefault="001C08CD" w:rsidP="001C08CD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8F43AB" w:rsidRPr="00182BBE">
        <w:rPr>
          <w:sz w:val="24"/>
          <w:szCs w:val="24"/>
        </w:rPr>
        <w:t xml:space="preserve">ccordi relativi ai termini degli incarichi. </w:t>
      </w:r>
      <w:r w:rsidR="000F1AC2" w:rsidRPr="00182BBE">
        <w:rPr>
          <w:sz w:val="24"/>
          <w:szCs w:val="24"/>
        </w:rPr>
        <w:t>La lettera d’incarico</w:t>
      </w:r>
      <w:r w:rsidR="00182BBE">
        <w:rPr>
          <w:sz w:val="24"/>
          <w:szCs w:val="24"/>
        </w:rPr>
        <w:t xml:space="preserve"> </w:t>
      </w:r>
      <w:r w:rsidR="00182BBE" w:rsidRPr="00182BBE">
        <w:rPr>
          <w:b/>
          <w:sz w:val="24"/>
          <w:szCs w:val="24"/>
        </w:rPr>
        <w:t>(A.2.3; A.2.4)</w:t>
      </w:r>
      <w:r w:rsidR="00D7769D">
        <w:rPr>
          <w:b/>
          <w:sz w:val="24"/>
          <w:szCs w:val="24"/>
        </w:rPr>
        <w:t>;</w:t>
      </w:r>
    </w:p>
    <w:p w14:paraId="37AD3D26" w14:textId="61912D1B" w:rsidR="001C08CD" w:rsidRPr="00450F1B" w:rsidRDefault="001C08CD" w:rsidP="00C84C26">
      <w:pPr>
        <w:pStyle w:val="Paragrafoelenco"/>
        <w:spacing w:after="0"/>
        <w:ind w:left="1080"/>
        <w:jc w:val="both"/>
        <w:rPr>
          <w:sz w:val="24"/>
          <w:szCs w:val="24"/>
        </w:rPr>
      </w:pPr>
      <w:r w:rsidRPr="00450F1B">
        <w:rPr>
          <w:sz w:val="24"/>
          <w:szCs w:val="24"/>
        </w:rPr>
        <w:t>La pianificazione dell’attività di revisione,</w:t>
      </w:r>
      <w:r w:rsidR="00450F1B">
        <w:rPr>
          <w:sz w:val="24"/>
          <w:szCs w:val="24"/>
        </w:rPr>
        <w:t xml:space="preserve"> definizione della </w:t>
      </w:r>
      <w:r w:rsidRPr="00450F1B">
        <w:rPr>
          <w:sz w:val="24"/>
          <w:szCs w:val="24"/>
        </w:rPr>
        <w:t>strategia</w:t>
      </w:r>
      <w:r w:rsidR="00450F1B">
        <w:rPr>
          <w:sz w:val="24"/>
          <w:szCs w:val="24"/>
        </w:rPr>
        <w:t xml:space="preserve"> </w:t>
      </w:r>
      <w:r w:rsidRPr="00450F1B">
        <w:rPr>
          <w:sz w:val="24"/>
          <w:szCs w:val="24"/>
        </w:rPr>
        <w:t xml:space="preserve">e </w:t>
      </w:r>
      <w:r w:rsidR="00450F1B">
        <w:rPr>
          <w:sz w:val="24"/>
          <w:szCs w:val="24"/>
        </w:rPr>
        <w:t xml:space="preserve">degli </w:t>
      </w:r>
      <w:r w:rsidRPr="00450F1B">
        <w:rPr>
          <w:sz w:val="24"/>
          <w:szCs w:val="24"/>
        </w:rPr>
        <w:t xml:space="preserve">obiettivi della revisione legale dei conti per le srl </w:t>
      </w:r>
      <w:r w:rsidR="00450F1B" w:rsidRPr="00450F1B">
        <w:rPr>
          <w:sz w:val="24"/>
          <w:szCs w:val="24"/>
        </w:rPr>
        <w:t>il calcolo della significatività</w:t>
      </w:r>
      <w:r w:rsidRPr="00450F1B">
        <w:rPr>
          <w:sz w:val="24"/>
          <w:szCs w:val="24"/>
        </w:rPr>
        <w:t xml:space="preserve"> </w:t>
      </w:r>
      <w:r w:rsidRPr="00E26F81">
        <w:rPr>
          <w:b/>
          <w:sz w:val="24"/>
          <w:szCs w:val="24"/>
        </w:rPr>
        <w:t>(A.2.12)</w:t>
      </w:r>
      <w:r w:rsidR="00D7769D">
        <w:rPr>
          <w:b/>
          <w:sz w:val="24"/>
          <w:szCs w:val="24"/>
        </w:rPr>
        <w:t>;</w:t>
      </w:r>
    </w:p>
    <w:p w14:paraId="7F4351E5" w14:textId="24F3C64E" w:rsidR="000F1AC2" w:rsidRPr="00916667" w:rsidRDefault="00450F1B" w:rsidP="00C84C26">
      <w:pPr>
        <w:pStyle w:val="Paragrafoelenco"/>
        <w:ind w:left="1080"/>
        <w:rPr>
          <w:sz w:val="24"/>
          <w:szCs w:val="24"/>
        </w:rPr>
      </w:pPr>
      <w:r w:rsidRPr="00450F1B">
        <w:rPr>
          <w:sz w:val="24"/>
          <w:szCs w:val="24"/>
        </w:rPr>
        <w:t xml:space="preserve">La Revisione Legale dei conti secondo l’approccio metodologico previsto dal CNDCEC per le aziende di minore dimensione </w:t>
      </w:r>
      <w:r w:rsidRPr="00EF6FA7">
        <w:rPr>
          <w:b/>
          <w:sz w:val="24"/>
          <w:szCs w:val="24"/>
        </w:rPr>
        <w:t>(A.5.28).</w:t>
      </w:r>
      <w:r>
        <w:rPr>
          <w:sz w:val="24"/>
          <w:szCs w:val="24"/>
        </w:rPr>
        <w:t xml:space="preserve"> </w:t>
      </w:r>
    </w:p>
    <w:p w14:paraId="54A9C955" w14:textId="77777777" w:rsidR="000F1AC2" w:rsidRDefault="000F1AC2" w:rsidP="00182BBE">
      <w:pPr>
        <w:spacing w:after="0"/>
        <w:jc w:val="both"/>
      </w:pPr>
    </w:p>
    <w:p w14:paraId="2B143ADC" w14:textId="54563655" w:rsidR="00C84C26" w:rsidRPr="00ED6C2C" w:rsidRDefault="00C84C26" w:rsidP="00C84C26">
      <w:pPr>
        <w:jc w:val="center"/>
        <w:rPr>
          <w:b/>
          <w:color w:val="0000FF"/>
          <w:sz w:val="28"/>
          <w:szCs w:val="28"/>
        </w:rPr>
      </w:pPr>
      <w:r w:rsidRPr="00ED6C2C">
        <w:rPr>
          <w:b/>
          <w:color w:val="0000FF"/>
          <w:sz w:val="28"/>
          <w:szCs w:val="28"/>
        </w:rPr>
        <w:t>19 NOVEMBRE 201</w:t>
      </w:r>
      <w:r w:rsidR="00AB5871">
        <w:rPr>
          <w:b/>
          <w:color w:val="0000FF"/>
          <w:sz w:val="28"/>
          <w:szCs w:val="28"/>
        </w:rPr>
        <w:t>9</w:t>
      </w:r>
      <w:bookmarkStart w:id="0" w:name="_GoBack"/>
      <w:bookmarkEnd w:id="0"/>
      <w:r w:rsidRPr="00ED6C2C">
        <w:rPr>
          <w:b/>
          <w:color w:val="0000FF"/>
          <w:sz w:val="28"/>
          <w:szCs w:val="28"/>
        </w:rPr>
        <w:t xml:space="preserve"> (14.30 - 19.30)</w:t>
      </w:r>
    </w:p>
    <w:p w14:paraId="02DE636E" w14:textId="370B51AA" w:rsidR="001270F6" w:rsidRDefault="001270F6" w:rsidP="001270F6">
      <w:pPr>
        <w:pStyle w:val="Paragrafoelenco"/>
        <w:rPr>
          <w:b/>
          <w:color w:val="FF0000"/>
        </w:rPr>
      </w:pPr>
    </w:p>
    <w:p w14:paraId="784EE32E" w14:textId="197C4ED6" w:rsidR="00C84C26" w:rsidRPr="001270F6" w:rsidRDefault="00C84C26" w:rsidP="00C84C26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L’organizzazione della documentazione del lavoro </w:t>
      </w:r>
      <w:r w:rsidRPr="00EF6FA7">
        <w:rPr>
          <w:b/>
          <w:sz w:val="24"/>
          <w:szCs w:val="24"/>
        </w:rPr>
        <w:t>(A.5.1</w:t>
      </w:r>
      <w:r>
        <w:rPr>
          <w:b/>
          <w:sz w:val="24"/>
          <w:szCs w:val="24"/>
        </w:rPr>
        <w:t>)</w:t>
      </w:r>
      <w:r w:rsidR="00D7769D">
        <w:rPr>
          <w:b/>
          <w:sz w:val="24"/>
          <w:szCs w:val="24"/>
        </w:rPr>
        <w:t>;</w:t>
      </w:r>
    </w:p>
    <w:p w14:paraId="056E49F0" w14:textId="50E91C0B" w:rsidR="00C84C26" w:rsidRPr="00182BBE" w:rsidRDefault="00C84C26" w:rsidP="00C84C26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ISA Italia 510, </w:t>
      </w:r>
      <w:r w:rsidRPr="00182BBE">
        <w:rPr>
          <w:sz w:val="24"/>
          <w:szCs w:val="24"/>
        </w:rPr>
        <w:t>Primi incarichi di revisione contabile. Saldi di apertura</w:t>
      </w:r>
      <w:r>
        <w:rPr>
          <w:sz w:val="24"/>
          <w:szCs w:val="24"/>
        </w:rPr>
        <w:t xml:space="preserve"> </w:t>
      </w:r>
      <w:r w:rsidRPr="00182BBE">
        <w:rPr>
          <w:b/>
          <w:sz w:val="24"/>
          <w:szCs w:val="24"/>
        </w:rPr>
        <w:t>(A.2.21)</w:t>
      </w:r>
      <w:r w:rsidR="00D7769D">
        <w:rPr>
          <w:b/>
          <w:sz w:val="24"/>
          <w:szCs w:val="24"/>
        </w:rPr>
        <w:t>;</w:t>
      </w:r>
    </w:p>
    <w:p w14:paraId="731727B8" w14:textId="3B6DF5ED" w:rsidR="00C84C26" w:rsidRPr="00E26F81" w:rsidRDefault="00C84C26" w:rsidP="00C84C26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ISA Italia 402. Considerazioni sulla revisione contabile di un’impresa che esternalizza attività avvalendosi di fornitori </w:t>
      </w:r>
      <w:r w:rsidR="00D7769D">
        <w:rPr>
          <w:sz w:val="24"/>
          <w:szCs w:val="24"/>
        </w:rPr>
        <w:t>d</w:t>
      </w:r>
      <w:r>
        <w:rPr>
          <w:sz w:val="24"/>
          <w:szCs w:val="24"/>
        </w:rPr>
        <w:t xml:space="preserve">i servizi. </w:t>
      </w:r>
      <w:r w:rsidRPr="00E26F81">
        <w:rPr>
          <w:b/>
          <w:sz w:val="24"/>
          <w:szCs w:val="24"/>
        </w:rPr>
        <w:t>(A.2.16)</w:t>
      </w:r>
      <w:r w:rsidR="00D7769D">
        <w:rPr>
          <w:b/>
          <w:sz w:val="24"/>
          <w:szCs w:val="24"/>
        </w:rPr>
        <w:t>;</w:t>
      </w:r>
    </w:p>
    <w:p w14:paraId="5A5BAC23" w14:textId="0480507B" w:rsidR="00C84C26" w:rsidRPr="00E26F81" w:rsidRDefault="00C84C26" w:rsidP="00C84C26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rafforzamento delle verifiche periodiche ai sensi SA Italia 250B per monitorare gli indicatori della crisi </w:t>
      </w:r>
      <w:r w:rsidRPr="00E26F81">
        <w:rPr>
          <w:b/>
          <w:sz w:val="24"/>
          <w:szCs w:val="24"/>
        </w:rPr>
        <w:t>(A.2.9)</w:t>
      </w:r>
      <w:r w:rsidR="00D7769D">
        <w:rPr>
          <w:b/>
          <w:sz w:val="24"/>
          <w:szCs w:val="24"/>
        </w:rPr>
        <w:t>;</w:t>
      </w:r>
    </w:p>
    <w:p w14:paraId="09E7A2F2" w14:textId="499C27D2" w:rsidR="00C84C26" w:rsidRPr="00182BBE" w:rsidRDefault="00C84C26" w:rsidP="00C84C26">
      <w:pPr>
        <w:pStyle w:val="Paragrafoelenco"/>
        <w:spacing w:after="0"/>
        <w:ind w:left="1080"/>
        <w:jc w:val="both"/>
        <w:rPr>
          <w:b/>
          <w:sz w:val="24"/>
          <w:szCs w:val="24"/>
        </w:rPr>
      </w:pPr>
      <w:r w:rsidRPr="00182BBE">
        <w:rPr>
          <w:sz w:val="24"/>
          <w:szCs w:val="24"/>
        </w:rPr>
        <w:t>Le procedure di allerta interna: il ruolo, le funzioni e responsabilità del revisore legale dei conti</w:t>
      </w:r>
      <w:r w:rsidRPr="00182B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82BBE">
        <w:rPr>
          <w:b/>
          <w:sz w:val="24"/>
          <w:szCs w:val="24"/>
        </w:rPr>
        <w:t>(A.3.11)</w:t>
      </w:r>
      <w:r w:rsidR="00D7769D">
        <w:rPr>
          <w:b/>
          <w:sz w:val="24"/>
          <w:szCs w:val="24"/>
        </w:rPr>
        <w:t>.</w:t>
      </w:r>
    </w:p>
    <w:p w14:paraId="7DFDB9B2" w14:textId="09C9CC84" w:rsidR="00C84C26" w:rsidRDefault="00C84C26" w:rsidP="001270F6">
      <w:pPr>
        <w:pStyle w:val="Paragrafoelenco"/>
        <w:rPr>
          <w:b/>
          <w:color w:val="FF0000"/>
        </w:rPr>
      </w:pPr>
    </w:p>
    <w:p w14:paraId="1DB79855" w14:textId="275BA715" w:rsidR="00C84C26" w:rsidRDefault="00C84C26" w:rsidP="001270F6">
      <w:pPr>
        <w:pStyle w:val="Paragrafoelenco"/>
        <w:rPr>
          <w:b/>
          <w:color w:val="FF0000"/>
        </w:rPr>
      </w:pPr>
    </w:p>
    <w:p w14:paraId="02259EEF" w14:textId="77777777" w:rsidR="00C84C26" w:rsidRDefault="00C84C26" w:rsidP="001270F6">
      <w:pPr>
        <w:pStyle w:val="Paragrafoelenco"/>
        <w:rPr>
          <w:b/>
          <w:color w:val="FF0000"/>
        </w:rPr>
      </w:pPr>
    </w:p>
    <w:p w14:paraId="28992BC2" w14:textId="77777777" w:rsidR="001270F6" w:rsidRDefault="001270F6" w:rsidP="001270F6">
      <w:pPr>
        <w:rPr>
          <w:b/>
          <w:u w:val="single"/>
        </w:rPr>
      </w:pPr>
      <w:r w:rsidRPr="008B7BA1">
        <w:rPr>
          <w:b/>
          <w:u w:val="single"/>
        </w:rPr>
        <w:t>L</w:t>
      </w:r>
      <w:r>
        <w:rPr>
          <w:b/>
          <w:u w:val="single"/>
        </w:rPr>
        <w:t xml:space="preserve">a partecipazione è gratuita, per l’adesione è indispensabile registrarsi nel sito della formazione </w:t>
      </w:r>
      <w:hyperlink r:id="rId9" w:history="1">
        <w:r w:rsidRPr="00D565D4">
          <w:rPr>
            <w:rStyle w:val="Collegamentoipertestuale"/>
            <w:b/>
          </w:rPr>
          <w:t>www.fpcu.it</w:t>
        </w:r>
      </w:hyperlink>
      <w:r>
        <w:rPr>
          <w:b/>
          <w:u w:val="single"/>
        </w:rPr>
        <w:t xml:space="preserve"> , oppure cliccando sui singoli link </w:t>
      </w:r>
    </w:p>
    <w:p w14:paraId="0B31DF16" w14:textId="77777777" w:rsidR="00450F1B" w:rsidRDefault="00450F1B" w:rsidP="00450F1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FD65A6E" w14:textId="1237CCDC" w:rsidR="001270F6" w:rsidRDefault="00D7769D" w:rsidP="00C84C26">
      <w:pPr>
        <w:jc w:val="both"/>
        <w:rPr>
          <w:b/>
          <w:u w:val="single"/>
        </w:rPr>
      </w:pPr>
      <w:hyperlink r:id="rId10" w:history="1">
        <w:r w:rsidRPr="00D7769D">
          <w:rPr>
            <w:color w:val="0000FF"/>
            <w:u w:val="single"/>
          </w:rPr>
          <w:t>https://www.fpcu.it/Eventi/SchedaEvento.aspx?idevento=496895</w:t>
        </w:r>
      </w:hyperlink>
      <w:r w:rsidR="00ED6C2C">
        <w:t xml:space="preserve"> per il giorno 12 novembre 2019</w:t>
      </w:r>
    </w:p>
    <w:p w14:paraId="1C075D41" w14:textId="0C5BC15E" w:rsidR="00D7769D" w:rsidRDefault="00ED6C2C" w:rsidP="00C84C26">
      <w:pPr>
        <w:jc w:val="both"/>
        <w:rPr>
          <w:b/>
          <w:u w:val="single"/>
        </w:rPr>
      </w:pPr>
      <w:hyperlink r:id="rId11" w:history="1">
        <w:r w:rsidRPr="00ED6C2C">
          <w:rPr>
            <w:color w:val="0000FF"/>
            <w:u w:val="single"/>
          </w:rPr>
          <w:t>https://www.fpcu.it/Eventi/SchedaEvento.aspx?idevento=497039</w:t>
        </w:r>
      </w:hyperlink>
      <w:r>
        <w:t xml:space="preserve"> per il giorno 19 novembre 2019</w:t>
      </w:r>
    </w:p>
    <w:p w14:paraId="1FA165A9" w14:textId="77777777" w:rsidR="00D7769D" w:rsidRDefault="00D7769D" w:rsidP="00C84C26">
      <w:pPr>
        <w:jc w:val="both"/>
        <w:rPr>
          <w:b/>
          <w:u w:val="single"/>
        </w:rPr>
      </w:pPr>
    </w:p>
    <w:p w14:paraId="3D581669" w14:textId="143FB2D0" w:rsidR="001270F6" w:rsidRPr="00D8657F" w:rsidRDefault="001270F6" w:rsidP="00C84C26">
      <w:pPr>
        <w:jc w:val="both"/>
        <w:rPr>
          <w:bCs/>
          <w:u w:val="single"/>
        </w:rPr>
      </w:pPr>
      <w:r>
        <w:rPr>
          <w:b/>
          <w:u w:val="single"/>
        </w:rPr>
        <w:t xml:space="preserve">L’intera partecipazione attribuisce </w:t>
      </w:r>
      <w:r w:rsidRPr="008B7BA1">
        <w:rPr>
          <w:b/>
          <w:u w:val="single"/>
        </w:rPr>
        <w:t xml:space="preserve">10 </w:t>
      </w:r>
      <w:r>
        <w:rPr>
          <w:b/>
          <w:u w:val="single"/>
        </w:rPr>
        <w:t xml:space="preserve">crediti formativi validi per la formazione degli Iscritti all’Albo dei Dottori Commercialisti e degli Esperti </w:t>
      </w:r>
      <w:proofErr w:type="gramStart"/>
      <w:r>
        <w:rPr>
          <w:b/>
          <w:u w:val="single"/>
        </w:rPr>
        <w:t>contabili</w:t>
      </w:r>
      <w:r w:rsidR="00D8657F">
        <w:rPr>
          <w:b/>
          <w:u w:val="single"/>
        </w:rPr>
        <w:t xml:space="preserve">, </w:t>
      </w:r>
      <w:r>
        <w:rPr>
          <w:b/>
          <w:u w:val="single"/>
        </w:rPr>
        <w:t xml:space="preserve"> inoltre</w:t>
      </w:r>
      <w:proofErr w:type="gramEnd"/>
      <w:r>
        <w:rPr>
          <w:b/>
          <w:u w:val="single"/>
        </w:rPr>
        <w:t xml:space="preserve"> il programma è stato predisposto sulla base delle indicazioni fornite dal MEF  con determina prot. n. 2</w:t>
      </w:r>
      <w:r w:rsidR="00D8657F">
        <w:rPr>
          <w:b/>
          <w:u w:val="single"/>
        </w:rPr>
        <w:t>3018</w:t>
      </w:r>
      <w:r>
        <w:rPr>
          <w:b/>
          <w:u w:val="single"/>
        </w:rPr>
        <w:t xml:space="preserve"> del</w:t>
      </w:r>
      <w:r w:rsidR="00D8657F">
        <w:rPr>
          <w:b/>
          <w:u w:val="single"/>
        </w:rPr>
        <w:t xml:space="preserve"> 13 febbraio </w:t>
      </w:r>
      <w:r>
        <w:rPr>
          <w:b/>
          <w:u w:val="single"/>
        </w:rPr>
        <w:t>201</w:t>
      </w:r>
      <w:r w:rsidR="00D8657F">
        <w:rPr>
          <w:b/>
          <w:u w:val="single"/>
        </w:rPr>
        <w:t>9</w:t>
      </w:r>
      <w:r>
        <w:rPr>
          <w:b/>
          <w:u w:val="single"/>
        </w:rPr>
        <w:t xml:space="preserve"> ai fini del riconoscimento di n. 10 crediti formativi da conseguire nella materia caratterizzante la revisione legale gruppo A</w:t>
      </w:r>
      <w:r w:rsidRPr="00D8657F">
        <w:rPr>
          <w:bCs/>
          <w:u w:val="single"/>
        </w:rPr>
        <w:t>.  Si ricorda che la disciplina della formazione per i revisori legali pur prevedendo l’equipollenza dell’attività formativa degli Ordini non ne prevede l’immediata condivisione, bensì un riconoscimento a posteriori dei contenuti degli eventi da parte del MEF.</w:t>
      </w:r>
    </w:p>
    <w:p w14:paraId="382EAEAD" w14:textId="044BB12E" w:rsidR="00D8657F" w:rsidRPr="00D8657F" w:rsidRDefault="00D8657F" w:rsidP="00D8657F">
      <w:pPr>
        <w:pStyle w:val="Paragrafoelenco"/>
        <w:ind w:left="0"/>
        <w:rPr>
          <w:b/>
        </w:rPr>
      </w:pPr>
      <w:r w:rsidRPr="00D8657F">
        <w:rPr>
          <w:b/>
        </w:rPr>
        <w:t>L’ordine degli argomenti trattati può essere modificato a discrezione del relatore.</w:t>
      </w:r>
    </w:p>
    <w:p w14:paraId="4CAA863B" w14:textId="77777777" w:rsidR="00D97DAA" w:rsidRDefault="00D97DAA" w:rsidP="00450F1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4EC6438" w14:textId="77777777" w:rsidR="00D97DAA" w:rsidRPr="00450F1B" w:rsidRDefault="00D97DAA" w:rsidP="00450F1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BCD8991" w14:textId="77777777" w:rsidR="00450F1B" w:rsidRDefault="00450F1B" w:rsidP="00CA1205">
      <w:pPr>
        <w:spacing w:after="120" w:line="240" w:lineRule="auto"/>
        <w:jc w:val="both"/>
      </w:pPr>
    </w:p>
    <w:sectPr w:rsidR="00450F1B" w:rsidSect="00D7769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CBBD" w14:textId="77777777" w:rsidR="00793681" w:rsidRDefault="00793681" w:rsidP="00916667">
      <w:pPr>
        <w:spacing w:after="0" w:line="240" w:lineRule="auto"/>
      </w:pPr>
      <w:r>
        <w:separator/>
      </w:r>
    </w:p>
  </w:endnote>
  <w:endnote w:type="continuationSeparator" w:id="0">
    <w:p w14:paraId="00744774" w14:textId="77777777" w:rsidR="00793681" w:rsidRDefault="00793681" w:rsidP="009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559E" w14:textId="77777777" w:rsidR="00793681" w:rsidRDefault="00793681" w:rsidP="00916667">
      <w:pPr>
        <w:spacing w:after="0" w:line="240" w:lineRule="auto"/>
      </w:pPr>
      <w:r>
        <w:separator/>
      </w:r>
    </w:p>
  </w:footnote>
  <w:footnote w:type="continuationSeparator" w:id="0">
    <w:p w14:paraId="50DAC733" w14:textId="77777777" w:rsidR="00793681" w:rsidRDefault="00793681" w:rsidP="0091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190"/>
    <w:multiLevelType w:val="hybridMultilevel"/>
    <w:tmpl w:val="CF8CE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D24A9"/>
    <w:multiLevelType w:val="hybridMultilevel"/>
    <w:tmpl w:val="1B9A2190"/>
    <w:lvl w:ilvl="0" w:tplc="EFF8B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C49"/>
    <w:multiLevelType w:val="hybridMultilevel"/>
    <w:tmpl w:val="1BF613C6"/>
    <w:lvl w:ilvl="0" w:tplc="10025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A6457"/>
    <w:multiLevelType w:val="hybridMultilevel"/>
    <w:tmpl w:val="3BA0B9A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524886"/>
    <w:multiLevelType w:val="hybridMultilevel"/>
    <w:tmpl w:val="DBA60E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43EC1"/>
    <w:multiLevelType w:val="hybridMultilevel"/>
    <w:tmpl w:val="EA1CE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14F3"/>
    <w:multiLevelType w:val="hybridMultilevel"/>
    <w:tmpl w:val="C2DC283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227E6"/>
    <w:multiLevelType w:val="hybridMultilevel"/>
    <w:tmpl w:val="C4FC98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B6245"/>
    <w:multiLevelType w:val="hybridMultilevel"/>
    <w:tmpl w:val="57C44A9E"/>
    <w:lvl w:ilvl="0" w:tplc="EFF8B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B42C4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0DC"/>
    <w:multiLevelType w:val="hybridMultilevel"/>
    <w:tmpl w:val="9B58E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0BCF"/>
    <w:multiLevelType w:val="hybridMultilevel"/>
    <w:tmpl w:val="54469910"/>
    <w:lvl w:ilvl="0" w:tplc="EFF8B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E7065"/>
    <w:multiLevelType w:val="hybridMultilevel"/>
    <w:tmpl w:val="5E8A5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413E"/>
    <w:multiLevelType w:val="hybridMultilevel"/>
    <w:tmpl w:val="E13089B2"/>
    <w:lvl w:ilvl="0" w:tplc="DD5E0F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C2"/>
    <w:rsid w:val="00083AA8"/>
    <w:rsid w:val="000F1AC2"/>
    <w:rsid w:val="00114DC1"/>
    <w:rsid w:val="001270F6"/>
    <w:rsid w:val="00182BBE"/>
    <w:rsid w:val="001C08CD"/>
    <w:rsid w:val="0025109D"/>
    <w:rsid w:val="004249B7"/>
    <w:rsid w:val="00431B1B"/>
    <w:rsid w:val="00450F1B"/>
    <w:rsid w:val="00477E02"/>
    <w:rsid w:val="006E1DCC"/>
    <w:rsid w:val="00752218"/>
    <w:rsid w:val="00793681"/>
    <w:rsid w:val="008F43AB"/>
    <w:rsid w:val="0090023E"/>
    <w:rsid w:val="00916667"/>
    <w:rsid w:val="00AB5871"/>
    <w:rsid w:val="00C84C26"/>
    <w:rsid w:val="00CA1205"/>
    <w:rsid w:val="00CD30AC"/>
    <w:rsid w:val="00D7769D"/>
    <w:rsid w:val="00D8657F"/>
    <w:rsid w:val="00D93A76"/>
    <w:rsid w:val="00D97DAA"/>
    <w:rsid w:val="00DA7B50"/>
    <w:rsid w:val="00E26F81"/>
    <w:rsid w:val="00E4647E"/>
    <w:rsid w:val="00ED6C2C"/>
    <w:rsid w:val="00EF6FA7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24CF"/>
  <w15:chartTrackingRefBased/>
  <w15:docId w15:val="{C1B6D9A4-D753-4D9D-8748-FA34F72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A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4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667"/>
  </w:style>
  <w:style w:type="paragraph" w:styleId="Pidipagina">
    <w:name w:val="footer"/>
    <w:basedOn w:val="Normale"/>
    <w:link w:val="PidipaginaCarattere"/>
    <w:uiPriority w:val="99"/>
    <w:unhideWhenUsed/>
    <w:rsid w:val="0091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667"/>
  </w:style>
  <w:style w:type="character" w:styleId="Collegamentoipertestuale">
    <w:name w:val="Hyperlink"/>
    <w:basedOn w:val="Carpredefinitoparagrafo"/>
    <w:uiPriority w:val="99"/>
    <w:unhideWhenUsed/>
    <w:rsid w:val="001270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pcu.it/Eventi/SchedaEvento.aspx?idevento=49703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pcu.it/Eventi/SchedaEvento.aspx?idevento=496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c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Provasi</dc:creator>
  <cp:keywords/>
  <dc:description/>
  <cp:lastModifiedBy>client</cp:lastModifiedBy>
  <cp:revision>5</cp:revision>
  <cp:lastPrinted>2019-10-23T15:28:00Z</cp:lastPrinted>
  <dcterms:created xsi:type="dcterms:W3CDTF">2019-10-23T09:37:00Z</dcterms:created>
  <dcterms:modified xsi:type="dcterms:W3CDTF">2019-10-23T15:28:00Z</dcterms:modified>
</cp:coreProperties>
</file>