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F26" w:rsidRDefault="00164F26" w:rsidP="00164F26">
      <w:pPr>
        <w:ind w:left="993"/>
        <w:jc w:val="center"/>
        <w:rPr>
          <w:rFonts w:ascii="Century Gothic" w:hAnsi="Century Gothic"/>
          <w:b/>
          <w:bCs/>
          <w:color w:val="000080"/>
          <w:sz w:val="32"/>
          <w:szCs w:val="32"/>
        </w:rPr>
      </w:pPr>
      <w:r>
        <w:rPr>
          <w:rFonts w:ascii="Century Gothic" w:hAnsi="Century Gothic"/>
          <w:color w:val="000080"/>
          <w:sz w:val="32"/>
          <w:szCs w:val="32"/>
        </w:rPr>
        <w:t>“</w:t>
      </w:r>
      <w:r>
        <w:rPr>
          <w:rFonts w:ascii="Century Gothic" w:hAnsi="Century Gothic"/>
          <w:b/>
          <w:bCs/>
          <w:color w:val="000080"/>
          <w:sz w:val="32"/>
          <w:szCs w:val="32"/>
        </w:rPr>
        <w:t xml:space="preserve">LA RESPONSABILITA’ DEGLI ORGANI SOCIETARI: </w:t>
      </w:r>
    </w:p>
    <w:p w:rsidR="00164F26" w:rsidRDefault="00164F26" w:rsidP="00164F26">
      <w:pPr>
        <w:ind w:left="993"/>
        <w:jc w:val="center"/>
        <w:rPr>
          <w:rFonts w:ascii="Century Gothic" w:hAnsi="Century Gothic"/>
          <w:color w:val="000080"/>
          <w:sz w:val="32"/>
          <w:szCs w:val="32"/>
        </w:rPr>
      </w:pPr>
      <w:r>
        <w:rPr>
          <w:rFonts w:ascii="Century Gothic" w:hAnsi="Century Gothic"/>
          <w:b/>
          <w:bCs/>
          <w:color w:val="000080"/>
          <w:sz w:val="32"/>
          <w:szCs w:val="32"/>
        </w:rPr>
        <w:t>ANALISI E COPERTURA DEL RISCHIO</w:t>
      </w:r>
      <w:r>
        <w:rPr>
          <w:rFonts w:ascii="Century Gothic" w:hAnsi="Century Gothic"/>
          <w:color w:val="000080"/>
          <w:sz w:val="32"/>
          <w:szCs w:val="32"/>
        </w:rPr>
        <w:t>”</w:t>
      </w:r>
    </w:p>
    <w:p w:rsidR="00164F26" w:rsidRDefault="00164F26" w:rsidP="00164F26">
      <w:pPr>
        <w:ind w:left="993"/>
        <w:jc w:val="center"/>
        <w:rPr>
          <w:rFonts w:ascii="Century Gothic" w:hAnsi="Century Gothic"/>
          <w:b/>
          <w:bCs/>
          <w:color w:val="000080"/>
          <w:sz w:val="32"/>
          <w:szCs w:val="32"/>
        </w:rPr>
      </w:pPr>
      <w:r>
        <w:rPr>
          <w:rFonts w:ascii="Century Gothic" w:hAnsi="Century Gothic"/>
          <w:b/>
          <w:bCs/>
          <w:color w:val="000080"/>
          <w:sz w:val="32"/>
          <w:szCs w:val="32"/>
        </w:rPr>
        <w:t>03 marzo 2017</w:t>
      </w:r>
    </w:p>
    <w:p w:rsidR="00164F26" w:rsidRDefault="00164F26" w:rsidP="00164F26">
      <w:pPr>
        <w:ind w:left="993"/>
        <w:jc w:val="center"/>
        <w:rPr>
          <w:rFonts w:ascii="Century Gothic" w:hAnsi="Century Gothic"/>
          <w:color w:val="000080"/>
          <w:sz w:val="32"/>
          <w:szCs w:val="32"/>
        </w:rPr>
      </w:pPr>
      <w:r>
        <w:rPr>
          <w:rFonts w:ascii="Century Gothic" w:hAnsi="Century Gothic"/>
          <w:b/>
          <w:bCs/>
          <w:color w:val="000080"/>
          <w:sz w:val="32"/>
          <w:szCs w:val="32"/>
        </w:rPr>
        <w:t>Dalle ore 16.00 alle ore 18.30</w:t>
      </w:r>
    </w:p>
    <w:p w:rsidR="00164F26" w:rsidRDefault="00164F26" w:rsidP="00164F26">
      <w:pPr>
        <w:ind w:left="993"/>
        <w:jc w:val="center"/>
        <w:rPr>
          <w:rFonts w:ascii="Century Gothic" w:hAnsi="Century Gothic"/>
          <w:color w:val="000080"/>
          <w:sz w:val="28"/>
          <w:szCs w:val="28"/>
        </w:rPr>
      </w:pPr>
      <w:r>
        <w:rPr>
          <w:rFonts w:ascii="Century Gothic" w:hAnsi="Century Gothic"/>
          <w:color w:val="000080"/>
          <w:sz w:val="32"/>
          <w:szCs w:val="32"/>
        </w:rPr>
        <w:t xml:space="preserve">Presso </w:t>
      </w:r>
      <w:r>
        <w:rPr>
          <w:rFonts w:ascii="Century Gothic" w:hAnsi="Century Gothic"/>
          <w:color w:val="000080"/>
          <w:sz w:val="28"/>
          <w:szCs w:val="28"/>
        </w:rPr>
        <w:t>Sede BNL Paribas  – Via Bettino 2 – Prato</w:t>
      </w:r>
    </w:p>
    <w:p w:rsidR="00164F26" w:rsidRDefault="00164F26" w:rsidP="00164F26">
      <w:pPr>
        <w:ind w:left="993"/>
        <w:jc w:val="center"/>
        <w:rPr>
          <w:rFonts w:ascii="Century Gothic" w:hAnsi="Century Gothic"/>
          <w:color w:val="000080"/>
          <w:sz w:val="28"/>
          <w:szCs w:val="28"/>
        </w:rPr>
      </w:pPr>
    </w:p>
    <w:p w:rsidR="00164F26" w:rsidRDefault="00164F26" w:rsidP="00164F26">
      <w:pPr>
        <w:ind w:left="993"/>
        <w:jc w:val="center"/>
        <w:rPr>
          <w:rFonts w:ascii="Century Gothic" w:hAnsi="Century Gothic"/>
          <w:color w:val="000080"/>
          <w:sz w:val="28"/>
          <w:szCs w:val="28"/>
        </w:rPr>
      </w:pP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>Ore 16:00 - Registrazione partecipanti - Saluti di benvenuto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b/>
          <w:bCs/>
          <w:color w:val="000080"/>
          <w:sz w:val="24"/>
          <w:szCs w:val="24"/>
        </w:rPr>
        <w:t>Dr. Filippo Ravone</w:t>
      </w:r>
      <w:r>
        <w:rPr>
          <w:rFonts w:ascii="Century Gothic" w:hAnsi="Century Gothic"/>
          <w:color w:val="000080"/>
          <w:sz w:val="24"/>
          <w:szCs w:val="24"/>
        </w:rPr>
        <w:t xml:space="preserve"> – Presidente ODCEC Prato;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b/>
          <w:bCs/>
          <w:color w:val="000080"/>
          <w:sz w:val="24"/>
          <w:szCs w:val="24"/>
        </w:rPr>
        <w:t>Dott. Leopoldo Minicucci</w:t>
      </w:r>
      <w:r>
        <w:rPr>
          <w:rFonts w:ascii="Century Gothic" w:hAnsi="Century Gothic"/>
          <w:color w:val="000080"/>
          <w:sz w:val="24"/>
          <w:szCs w:val="24"/>
        </w:rPr>
        <w:t xml:space="preserve">, Presidente ADC sindacato Dottori Commercialisti Firenze 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b/>
          <w:bCs/>
          <w:color w:val="000080"/>
          <w:sz w:val="24"/>
          <w:szCs w:val="24"/>
        </w:rPr>
      </w:pPr>
      <w:r>
        <w:rPr>
          <w:rFonts w:ascii="Century Gothic" w:hAnsi="Century Gothic"/>
          <w:b/>
          <w:bCs/>
          <w:color w:val="000080"/>
          <w:sz w:val="24"/>
          <w:szCs w:val="24"/>
        </w:rPr>
        <w:t xml:space="preserve">Avv. Alberto Muzzi </w:t>
      </w:r>
      <w:r>
        <w:rPr>
          <w:rFonts w:ascii="Century Gothic" w:hAnsi="Century Gothic"/>
          <w:color w:val="000080"/>
          <w:sz w:val="24"/>
          <w:szCs w:val="24"/>
        </w:rPr>
        <w:t>presidente Associazione Giovani Giuristi Fiorentini A.G.G.F.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b/>
          <w:bCs/>
          <w:color w:val="000080"/>
          <w:sz w:val="24"/>
          <w:szCs w:val="24"/>
        </w:rPr>
        <w:t>Silvia Bertani</w:t>
      </w:r>
      <w:r>
        <w:rPr>
          <w:rFonts w:ascii="Century Gothic" w:hAnsi="Century Gothic"/>
          <w:color w:val="000080"/>
          <w:sz w:val="24"/>
          <w:szCs w:val="24"/>
        </w:rPr>
        <w:t>, Direttore Area Retail Toscana Nord, Direzione Territoriale Retail e Private Centro, BNL Gruppo BNP Paribas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>                                            Interventi programmati: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 xml:space="preserve">16:10 </w:t>
      </w:r>
      <w:r>
        <w:rPr>
          <w:rFonts w:ascii="Century Gothic" w:hAnsi="Century Gothic"/>
          <w:b/>
          <w:bCs/>
          <w:color w:val="000080"/>
          <w:sz w:val="24"/>
          <w:szCs w:val="24"/>
        </w:rPr>
        <w:t>Michelangelo Di Maio</w:t>
      </w:r>
      <w:r>
        <w:rPr>
          <w:rFonts w:ascii="Century Gothic" w:hAnsi="Century Gothic"/>
          <w:color w:val="000080"/>
          <w:sz w:val="24"/>
          <w:szCs w:val="24"/>
        </w:rPr>
        <w:t>,</w:t>
      </w:r>
      <w:r>
        <w:rPr>
          <w:rFonts w:ascii="Century Gothic" w:hAnsi="Century Gothic"/>
          <w:b/>
          <w:bCs/>
          <w:color w:val="000080"/>
          <w:sz w:val="24"/>
          <w:szCs w:val="24"/>
        </w:rPr>
        <w:t xml:space="preserve"> </w:t>
      </w:r>
      <w:r>
        <w:rPr>
          <w:rFonts w:ascii="Century Gothic" w:hAnsi="Century Gothic"/>
          <w:color w:val="000080"/>
          <w:sz w:val="24"/>
          <w:szCs w:val="24"/>
        </w:rPr>
        <w:t>Responsabile Sviluppo Commerciale Bnl Cardif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 xml:space="preserve">16:30 </w:t>
      </w:r>
      <w:r>
        <w:rPr>
          <w:rFonts w:ascii="Century Gothic" w:hAnsi="Century Gothic"/>
          <w:b/>
          <w:bCs/>
          <w:color w:val="000080"/>
          <w:sz w:val="24"/>
          <w:szCs w:val="24"/>
        </w:rPr>
        <w:t>Dott. Stefano Conti</w:t>
      </w:r>
      <w:r>
        <w:rPr>
          <w:rFonts w:ascii="Century Gothic" w:hAnsi="Century Gothic"/>
          <w:color w:val="000080"/>
          <w:sz w:val="24"/>
          <w:szCs w:val="24"/>
        </w:rPr>
        <w:t xml:space="preserve"> profili di responsabilità del professionista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 xml:space="preserve">17:00 </w:t>
      </w:r>
      <w:r>
        <w:rPr>
          <w:rFonts w:ascii="Century Gothic" w:hAnsi="Century Gothic"/>
          <w:b/>
          <w:bCs/>
          <w:color w:val="000080"/>
          <w:sz w:val="24"/>
          <w:szCs w:val="24"/>
        </w:rPr>
        <w:t>Dott. Alberto Cappellini</w:t>
      </w:r>
      <w:r>
        <w:rPr>
          <w:rFonts w:ascii="Century Gothic" w:hAnsi="Century Gothic"/>
          <w:color w:val="000080"/>
          <w:sz w:val="24"/>
          <w:szCs w:val="24"/>
        </w:rPr>
        <w:t xml:space="preserve"> Dottorando di Ricerca in Diritto Penale Università di Firenze profili di responsabilità penale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 xml:space="preserve">17:30 </w:t>
      </w:r>
      <w:r>
        <w:rPr>
          <w:rFonts w:ascii="Century Gothic" w:hAnsi="Century Gothic"/>
          <w:b/>
          <w:bCs/>
          <w:color w:val="000080"/>
          <w:sz w:val="24"/>
          <w:szCs w:val="24"/>
        </w:rPr>
        <w:t>Avv. Matteo Pica Alfieri</w:t>
      </w:r>
      <w:r>
        <w:rPr>
          <w:rFonts w:ascii="Century Gothic" w:hAnsi="Century Gothic"/>
          <w:color w:val="000080"/>
          <w:sz w:val="24"/>
          <w:szCs w:val="24"/>
        </w:rPr>
        <w:t xml:space="preserve"> profili di responsabilità civile e processual-civilistici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>18:00 Q&amp;A</w:t>
      </w:r>
    </w:p>
    <w:p w:rsidR="00164F26" w:rsidRDefault="00164F26" w:rsidP="00164F26">
      <w:pPr>
        <w:spacing w:line="360" w:lineRule="auto"/>
        <w:ind w:left="902"/>
        <w:jc w:val="both"/>
        <w:rPr>
          <w:rFonts w:ascii="Century Gothic" w:hAnsi="Century Gothic"/>
          <w:color w:val="000080"/>
          <w:sz w:val="24"/>
          <w:szCs w:val="24"/>
        </w:rPr>
      </w:pPr>
      <w:r>
        <w:rPr>
          <w:rFonts w:ascii="Century Gothic" w:hAnsi="Century Gothic"/>
          <w:color w:val="000080"/>
          <w:sz w:val="24"/>
          <w:szCs w:val="24"/>
        </w:rPr>
        <w:t>18:30 Coffee Break – fine lavori</w:t>
      </w:r>
    </w:p>
    <w:p w:rsidR="004739CA" w:rsidRDefault="004739CA"/>
    <w:sectPr w:rsidR="004739CA" w:rsidSect="00164F26">
      <w:headerReference w:type="default" r:id="rId6"/>
      <w:pgSz w:w="11906" w:h="16838"/>
      <w:pgMar w:top="22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501" w:rsidRDefault="00691501" w:rsidP="00164F26">
      <w:r>
        <w:separator/>
      </w:r>
    </w:p>
  </w:endnote>
  <w:endnote w:type="continuationSeparator" w:id="0">
    <w:p w:rsidR="00691501" w:rsidRDefault="00691501" w:rsidP="0016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501" w:rsidRDefault="00691501" w:rsidP="00164F26">
      <w:r>
        <w:separator/>
      </w:r>
    </w:p>
  </w:footnote>
  <w:footnote w:type="continuationSeparator" w:id="0">
    <w:p w:rsidR="00691501" w:rsidRDefault="00691501" w:rsidP="00164F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F26" w:rsidRDefault="005247C5">
    <w:pPr>
      <w:pStyle w:val="Intestazione"/>
      <w:rPr>
        <w:rFonts w:ascii="Century Gothic" w:hAnsi="Century Gothic" w:cs="Arial"/>
        <w:color w:val="000080"/>
        <w:sz w:val="12"/>
        <w:szCs w:val="12"/>
      </w:rPr>
    </w:pPr>
    <w:r>
      <w:rPr>
        <w:rFonts w:ascii="Century Gothic" w:hAnsi="Century Gothic" w:cs="Arial"/>
        <w:color w:val="943634"/>
        <w:sz w:val="12"/>
        <w:szCs w:val="12"/>
      </w:rPr>
      <w:t xml:space="preserve">                                                                   </w:t>
    </w:r>
    <w:r w:rsidR="00164F26">
      <w:rPr>
        <w:rFonts w:ascii="Century Gothic" w:hAnsi="Century Gothic" w:cs="Arial"/>
        <w:color w:val="943634"/>
        <w:sz w:val="12"/>
        <w:szCs w:val="12"/>
      </w:rPr>
      <w:t xml:space="preserve">ADC   </w:t>
    </w:r>
    <w:r w:rsidR="00164F26" w:rsidRPr="00DB45D0">
      <w:rPr>
        <w:rFonts w:ascii="Century Gothic" w:hAnsi="Century Gothic" w:cs="Arial"/>
        <w:color w:val="000080"/>
        <w:sz w:val="12"/>
        <w:szCs w:val="12"/>
      </w:rPr>
      <w:t>Sindacato Unitario</w:t>
    </w:r>
  </w:p>
  <w:p w:rsidR="00164F26" w:rsidRDefault="005247C5">
    <w:pPr>
      <w:pStyle w:val="Intestazione"/>
    </w:pPr>
    <w:bookmarkStart w:id="0" w:name="_GoBack"/>
    <w:r>
      <w:rPr>
        <w:rFonts w:ascii="Century Gothic" w:hAnsi="Century Gothic" w:cs="Arial"/>
        <w:noProof/>
        <w:color w:val="943634"/>
        <w:sz w:val="12"/>
        <w:szCs w:val="12"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2794000</wp:posOffset>
          </wp:positionH>
          <wp:positionV relativeFrom="paragraph">
            <wp:posOffset>170180</wp:posOffset>
          </wp:positionV>
          <wp:extent cx="2095500" cy="617855"/>
          <wp:effectExtent l="0" t="0" r="0" b="0"/>
          <wp:wrapNone/>
          <wp:docPr id="1" name="Immagine 1" descr="Logo BNL (colori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08" descr="Logo BNL (colori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  <w:r w:rsidR="00164F26" w:rsidRPr="00DB45D0">
      <w:rPr>
        <w:rFonts w:ascii="Century Gothic" w:hAnsi="Century Gothic" w:cs="Arial"/>
        <w:color w:val="000080"/>
        <w:sz w:val="12"/>
        <w:szCs w:val="12"/>
      </w:rPr>
      <w:t xml:space="preserve"> </w:t>
    </w:r>
    <w:r>
      <w:rPr>
        <w:noProof/>
        <w:lang w:eastAsia="it-IT"/>
      </w:rPr>
      <w:drawing>
        <wp:inline distT="0" distB="0" distL="0" distR="0">
          <wp:extent cx="933450" cy="952500"/>
          <wp:effectExtent l="0" t="0" r="0" b="0"/>
          <wp:docPr id="3" name="Immagine 3" descr="Associazione Giovani Giuristi Fiorent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sociazione Giovani Giuristi Fiorentin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entury Gothic" w:hAnsi="Century Gothic" w:cs="Arial"/>
        <w:color w:val="000080"/>
        <w:sz w:val="12"/>
        <w:szCs w:val="12"/>
      </w:rPr>
      <w:t xml:space="preserve">                       </w:t>
    </w:r>
    <w:bookmarkStart w:id="1" w:name="_MON_1137251040"/>
    <w:bookmarkStart w:id="2" w:name="_MON_1137251807"/>
    <w:bookmarkStart w:id="3" w:name="_MON_1137251868"/>
    <w:bookmarkStart w:id="4" w:name="_MON_1313853978"/>
    <w:bookmarkStart w:id="5" w:name="_MON_1442152433"/>
    <w:bookmarkStart w:id="6" w:name="_MON_1442154029"/>
    <w:bookmarkEnd w:id="1"/>
    <w:bookmarkEnd w:id="2"/>
    <w:bookmarkEnd w:id="3"/>
    <w:bookmarkEnd w:id="4"/>
    <w:bookmarkEnd w:id="5"/>
    <w:bookmarkEnd w:id="6"/>
    <w:bookmarkStart w:id="7" w:name="_MON_1044967290"/>
    <w:bookmarkEnd w:id="7"/>
    <w:r>
      <w:object w:dxaOrig="1341" w:dyaOrig="7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50.5pt" o:ole="" fillcolor="window">
          <v:imagedata r:id="rId3" o:title=""/>
        </v:shape>
        <o:OLEObject Type="Embed" ProgID="Word.Picture.8" ShapeID="_x0000_i1025" DrawAspect="Content" ObjectID="_1548221889" r:id="rId4"/>
      </w:object>
    </w:r>
  </w:p>
  <w:p w:rsidR="005247C5" w:rsidRDefault="005247C5">
    <w:pPr>
      <w:pStyle w:val="Intestazione"/>
    </w:pPr>
  </w:p>
  <w:p w:rsidR="005247C5" w:rsidRDefault="002564C4">
    <w:pPr>
      <w:pStyle w:val="Intestazione"/>
    </w:pPr>
    <w:r>
      <w:pict>
        <v:shape id="_x0000_i1026" type="#_x0000_t75" style="width:481.5pt;height:482pt">
          <v:imagedata r:id="rId5" o:title="AGGF logo defintivo trasparent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64F26"/>
    <w:rsid w:val="00164F26"/>
    <w:rsid w:val="002564C4"/>
    <w:rsid w:val="004739CA"/>
    <w:rsid w:val="005247C5"/>
    <w:rsid w:val="00691501"/>
    <w:rsid w:val="00836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F2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F2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4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F2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7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4F26"/>
    <w:pPr>
      <w:spacing w:after="0" w:line="240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64F2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4F26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164F2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4F26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47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4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4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Leopoldo</dc:creator>
  <cp:lastModifiedBy>daniela.daniele</cp:lastModifiedBy>
  <cp:revision>2</cp:revision>
  <dcterms:created xsi:type="dcterms:W3CDTF">2017-02-10T07:52:00Z</dcterms:created>
  <dcterms:modified xsi:type="dcterms:W3CDTF">2017-02-10T07:52:00Z</dcterms:modified>
</cp:coreProperties>
</file>